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66941">
      <w:pPr>
        <w:ind w:firstLine="0" w:firstLineChars="0"/>
      </w:pPr>
    </w:p>
    <w:p w14:paraId="19D041EF">
      <w:pPr>
        <w:pStyle w:val="2"/>
        <w:ind w:left="480" w:firstLine="480"/>
      </w:pPr>
    </w:p>
    <w:p w14:paraId="18D13F14">
      <w:pPr>
        <w:pStyle w:val="2"/>
        <w:ind w:left="480" w:firstLine="480"/>
      </w:pPr>
    </w:p>
    <w:p w14:paraId="486AD914">
      <w:pPr>
        <w:pStyle w:val="2"/>
        <w:ind w:left="480" w:firstLine="480"/>
      </w:pPr>
    </w:p>
    <w:p w14:paraId="4ABC4AAE">
      <w:pPr>
        <w:pStyle w:val="2"/>
        <w:ind w:left="480" w:firstLine="480"/>
      </w:pPr>
    </w:p>
    <w:p w14:paraId="607DFB65">
      <w:pPr>
        <w:pStyle w:val="2"/>
        <w:ind w:left="480" w:firstLine="480"/>
      </w:pPr>
      <w:r>
        <mc:AlternateContent>
          <mc:Choice Requires="wps">
            <w:drawing>
              <wp:anchor distT="45720" distB="45720" distL="114300" distR="114300" simplePos="0" relativeHeight="251661312" behindDoc="0" locked="0" layoutInCell="1" allowOverlap="1">
                <wp:simplePos x="0" y="0"/>
                <wp:positionH relativeFrom="margin">
                  <wp:align>center</wp:align>
                </wp:positionH>
                <wp:positionV relativeFrom="paragraph">
                  <wp:posOffset>414655</wp:posOffset>
                </wp:positionV>
                <wp:extent cx="4592955" cy="655320"/>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592955" cy="6553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695AD3">
                            <w:pPr>
                              <w:ind w:firstLine="0" w:firstLineChars="0"/>
                              <w:jc w:val="center"/>
                              <w:rPr>
                                <w:b/>
                                <w:sz w:val="52"/>
                              </w:rPr>
                            </w:pPr>
                            <w:r>
                              <w:rPr>
                                <w:rFonts w:hint="eastAsia"/>
                                <w:b/>
                                <w:sz w:val="52"/>
                              </w:rPr>
                              <w:t>实验室安全</w:t>
                            </w:r>
                            <w:r>
                              <w:rPr>
                                <w:rFonts w:hint="eastAsia"/>
                                <w:b/>
                                <w:sz w:val="52"/>
                                <w:lang w:val="en-US" w:eastAsia="zh-CN"/>
                              </w:rPr>
                              <w:t>考试系统</w:t>
                            </w:r>
                            <w:r>
                              <w:rPr>
                                <w:b/>
                                <w:sz w:val="52"/>
                              </w:rPr>
                              <w:t>操作手册</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32.65pt;height:51.6pt;width:361.65pt;mso-position-horizontal:center;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h3K3rtUAAAAHAQAADwAAAAAAAAAB&#10;ACAAAAAiAAAAZHJzL2Rvd25yZXYueG1sUEsBAhQAFAAAAAgAh07iQJLHpbATAgAACwQAAA4AAAAA&#10;AAAAAQAgAAAAJAEAAGRycy9lMm9Eb2MueG1sUEsFBgAAAAAGAAYAWQEAAKkFAAAAAA==&#10;">
                <v:fill on="f" focussize="0,0"/>
                <v:stroke on="f"/>
                <v:imagedata o:title=""/>
                <o:lock v:ext="edit" aspectratio="f"/>
                <v:textbox>
                  <w:txbxContent>
                    <w:p w14:paraId="2A695AD3">
                      <w:pPr>
                        <w:ind w:firstLine="0" w:firstLineChars="0"/>
                        <w:jc w:val="center"/>
                        <w:rPr>
                          <w:b/>
                          <w:sz w:val="52"/>
                        </w:rPr>
                      </w:pPr>
                      <w:r>
                        <w:rPr>
                          <w:rFonts w:hint="eastAsia"/>
                          <w:b/>
                          <w:sz w:val="52"/>
                        </w:rPr>
                        <w:t>实验室安全</w:t>
                      </w:r>
                      <w:r>
                        <w:rPr>
                          <w:rFonts w:hint="eastAsia"/>
                          <w:b/>
                          <w:sz w:val="52"/>
                          <w:lang w:val="en-US" w:eastAsia="zh-CN"/>
                        </w:rPr>
                        <w:t>考试系统</w:t>
                      </w:r>
                      <w:r>
                        <w:rPr>
                          <w:b/>
                          <w:sz w:val="52"/>
                        </w:rPr>
                        <w:t>操作手册</w:t>
                      </w:r>
                    </w:p>
                  </w:txbxContent>
                </v:textbox>
                <w10:wrap type="square"/>
              </v:shape>
            </w:pict>
          </mc:Fallback>
        </mc:AlternateContent>
      </w:r>
      <w:r>
        <mc:AlternateContent>
          <mc:Choice Requires="wps">
            <w:drawing>
              <wp:anchor distT="45720" distB="45720" distL="114300" distR="114300" simplePos="0" relativeHeight="251662336" behindDoc="0" locked="0" layoutInCell="1" allowOverlap="1">
                <wp:simplePos x="0" y="0"/>
                <wp:positionH relativeFrom="margin">
                  <wp:align>center</wp:align>
                </wp:positionH>
                <wp:positionV relativeFrom="paragraph">
                  <wp:posOffset>986155</wp:posOffset>
                </wp:positionV>
                <wp:extent cx="2223135" cy="655320"/>
                <wp:effectExtent l="0" t="0" r="0" b="0"/>
                <wp:wrapSquare wrapText="bothSides"/>
                <wp:docPr id="1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23135" cy="6553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71054F">
                            <w:pPr>
                              <w:pStyle w:val="26"/>
                              <w:ind w:left="360" w:firstLine="0" w:firstLineChars="0"/>
                              <w:rPr>
                                <w:b/>
                                <w:sz w:val="52"/>
                              </w:rPr>
                            </w:pPr>
                            <w:r>
                              <w:rPr>
                                <w:rFonts w:hint="eastAsia"/>
                                <w:b/>
                                <w:sz w:val="52"/>
                              </w:rPr>
                              <w:t>教师/学生</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77.65pt;height:51.6pt;width:175.05pt;mso-position-horizontal:center;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N6vpp1gAAAAgBAAAPAAAAAAAAAAEA&#10;IAAAACIAAABkcnMvZG93bnJldi54bWxQSwECFAAUAAAACACHTuJA/wWKUxECAAALBAAADgAAAAAA&#10;AAABACAAAAAlAQAAZHJzL2Uyb0RvYy54bWxQSwUGAAAAAAYABgBZAQAAqAUAAAAA&#10;">
                <v:fill on="f" focussize="0,0"/>
                <v:stroke on="f"/>
                <v:imagedata o:title=""/>
                <o:lock v:ext="edit" aspectratio="f"/>
                <v:textbox>
                  <w:txbxContent>
                    <w:p w14:paraId="7A71054F">
                      <w:pPr>
                        <w:pStyle w:val="26"/>
                        <w:ind w:left="360" w:firstLine="0" w:firstLineChars="0"/>
                        <w:rPr>
                          <w:b/>
                          <w:sz w:val="52"/>
                        </w:rPr>
                      </w:pPr>
                      <w:r>
                        <w:rPr>
                          <w:rFonts w:hint="eastAsia"/>
                          <w:b/>
                          <w:sz w:val="52"/>
                        </w:rPr>
                        <w:t>教师/学生</w:t>
                      </w:r>
                    </w:p>
                  </w:txbxContent>
                </v:textbox>
                <w10:wrap type="square"/>
              </v:shape>
            </w:pict>
          </mc:Fallback>
        </mc:AlternateContent>
      </w:r>
    </w:p>
    <w:p w14:paraId="0EA6C1E9">
      <w:pPr>
        <w:pStyle w:val="2"/>
        <w:ind w:left="480" w:firstLine="480"/>
      </w:pPr>
    </w:p>
    <w:p w14:paraId="05E0FE39">
      <w:pPr>
        <w:pStyle w:val="2"/>
        <w:ind w:left="480" w:firstLine="480"/>
      </w:pPr>
    </w:p>
    <w:p w14:paraId="53A848EF">
      <w:pPr>
        <w:pStyle w:val="2"/>
        <w:ind w:left="480" w:firstLine="480"/>
      </w:pPr>
    </w:p>
    <w:p w14:paraId="7501BA5B">
      <w:pPr>
        <w:pStyle w:val="2"/>
        <w:ind w:left="480" w:firstLine="480"/>
      </w:pPr>
    </w:p>
    <w:p w14:paraId="5124FBFE">
      <w:pPr>
        <w:pStyle w:val="2"/>
        <w:ind w:left="480" w:firstLine="480"/>
      </w:pPr>
    </w:p>
    <w:p w14:paraId="3DD3AD9D">
      <w:pPr>
        <w:pStyle w:val="2"/>
        <w:ind w:left="480" w:firstLine="480"/>
      </w:pPr>
    </w:p>
    <w:p w14:paraId="24C3180C">
      <w:pPr>
        <w:pStyle w:val="2"/>
        <w:ind w:left="0" w:leftChars="0" w:firstLine="0" w:firstLineChars="0"/>
        <w:jc w:val="center"/>
      </w:pPr>
      <w:r>
        <w:drawing>
          <wp:inline distT="0" distB="0" distL="0" distR="0">
            <wp:extent cx="3418205" cy="899795"/>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623826" cy="954280"/>
                    </a:xfrm>
                    <a:prstGeom prst="rect">
                      <a:avLst/>
                    </a:prstGeom>
                    <a:noFill/>
                    <a:ln>
                      <a:noFill/>
                    </a:ln>
                  </pic:spPr>
                </pic:pic>
              </a:graphicData>
            </a:graphic>
          </wp:inline>
        </w:drawing>
      </w:r>
    </w:p>
    <w:p w14:paraId="055A5D93">
      <w:pPr>
        <w:pStyle w:val="2"/>
        <w:ind w:left="480" w:firstLine="480"/>
      </w:pPr>
    </w:p>
    <w:p w14:paraId="5D4E68B3">
      <w:pPr>
        <w:pStyle w:val="2"/>
        <w:ind w:left="480" w:firstLine="480"/>
      </w:pPr>
    </w:p>
    <w:p w14:paraId="7EBB7D8F">
      <w:pPr>
        <w:pStyle w:val="2"/>
        <w:spacing w:after="0"/>
        <w:ind w:left="0" w:leftChars="0" w:firstLine="0" w:firstLineChars="0"/>
        <w:jc w:val="center"/>
        <w:rPr>
          <w:rFonts w:ascii="宋体" w:hAnsi="宋体"/>
          <w:b/>
          <w:sz w:val="28"/>
        </w:rPr>
      </w:pPr>
      <w:r>
        <w:rPr>
          <w:rFonts w:hint="eastAsia" w:ascii="宋体" w:hAnsi="宋体"/>
          <w:b/>
          <w:sz w:val="28"/>
        </w:rPr>
        <w:t>浙江创高软件有限公司</w:t>
      </w:r>
    </w:p>
    <w:p w14:paraId="5B928A9D">
      <w:pPr>
        <w:pStyle w:val="2"/>
        <w:spacing w:after="0"/>
        <w:ind w:left="0" w:leftChars="0" w:firstLine="0" w:firstLineChars="0"/>
        <w:jc w:val="center"/>
        <w:rPr>
          <w:rFonts w:hint="default" w:ascii="宋体" w:hAnsi="宋体"/>
          <w:b/>
          <w:sz w:val="28"/>
          <w:lang w:val="en-US"/>
        </w:rPr>
      </w:pPr>
      <w:r>
        <w:rPr>
          <w:rFonts w:hint="eastAsia" w:ascii="宋体" w:hAnsi="宋体"/>
          <w:b/>
          <w:sz w:val="28"/>
        </w:rPr>
        <w:t>2</w:t>
      </w:r>
      <w:r>
        <w:rPr>
          <w:rFonts w:ascii="宋体" w:hAnsi="宋体"/>
          <w:b/>
          <w:sz w:val="28"/>
        </w:rPr>
        <w:t>02</w:t>
      </w:r>
      <w:r>
        <w:rPr>
          <w:rFonts w:hint="eastAsia" w:ascii="宋体" w:hAnsi="宋体"/>
          <w:b/>
          <w:sz w:val="28"/>
          <w:lang w:val="en-US" w:eastAsia="zh-CN"/>
        </w:rPr>
        <w:t>5</w:t>
      </w:r>
      <w:r>
        <w:rPr>
          <w:rFonts w:hint="eastAsia" w:ascii="宋体" w:hAnsi="宋体"/>
          <w:b/>
          <w:sz w:val="28"/>
        </w:rPr>
        <w:t>年</w:t>
      </w:r>
      <w:r>
        <w:rPr>
          <w:rFonts w:hint="eastAsia" w:ascii="宋体" w:hAnsi="宋体"/>
          <w:b/>
          <w:sz w:val="28"/>
          <w:lang w:val="en-US" w:eastAsia="zh-CN"/>
        </w:rPr>
        <w:t>7月</w:t>
      </w:r>
    </w:p>
    <w:p w14:paraId="0EDE2DC8">
      <w:pPr>
        <w:ind w:firstLine="480"/>
      </w:pPr>
      <w:r>
        <w:br w:type="page"/>
      </w:r>
    </w:p>
    <w:sdt>
      <w:sdtPr>
        <w:rPr>
          <w:rFonts w:ascii="宋体" w:hAnsi="宋体" w:eastAsia="宋体" w:cs="Times New Roman"/>
          <w:b/>
          <w:color w:val="auto"/>
          <w:kern w:val="2"/>
          <w:sz w:val="28"/>
          <w:szCs w:val="24"/>
          <w:lang w:val="zh-CN"/>
        </w:rPr>
        <w:id w:val="-1401355620"/>
        <w:docPartObj>
          <w:docPartGallery w:val="Table of Contents"/>
          <w:docPartUnique/>
        </w:docPartObj>
      </w:sdtPr>
      <w:sdtEndPr>
        <w:rPr>
          <w:rFonts w:ascii="宋体" w:hAnsi="宋体" w:eastAsia="宋体" w:cs="Times New Roman"/>
          <w:b/>
          <w:bCs/>
          <w:color w:val="auto"/>
          <w:kern w:val="2"/>
          <w:sz w:val="24"/>
          <w:szCs w:val="24"/>
          <w:lang w:val="zh-CN"/>
        </w:rPr>
      </w:sdtEndPr>
      <w:sdtContent>
        <w:p w14:paraId="0433F2ED">
          <w:pPr>
            <w:pStyle w:val="27"/>
            <w:spacing w:before="0" w:line="324" w:lineRule="auto"/>
            <w:ind w:firstLine="480"/>
            <w:jc w:val="center"/>
            <w:rPr>
              <w:rFonts w:ascii="宋体" w:hAnsi="宋体" w:eastAsia="宋体"/>
              <w:b/>
              <w:color w:val="auto"/>
              <w:sz w:val="28"/>
              <w:szCs w:val="24"/>
            </w:rPr>
          </w:pPr>
          <w:r>
            <w:rPr>
              <w:rFonts w:ascii="宋体" w:hAnsi="宋体" w:eastAsia="宋体"/>
              <w:b/>
              <w:color w:val="auto"/>
              <w:sz w:val="28"/>
              <w:szCs w:val="24"/>
              <w:lang w:val="zh-CN"/>
            </w:rPr>
            <w:t>目录</w:t>
          </w:r>
        </w:p>
        <w:p w14:paraId="79DAC968">
          <w:pPr>
            <w:pStyle w:val="11"/>
            <w:tabs>
              <w:tab w:val="right" w:leader="dot" w:pos="8306"/>
            </w:tabs>
          </w:pPr>
          <w:r>
            <w:rPr>
              <w:rFonts w:ascii="宋体" w:hAnsi="宋体"/>
            </w:rPr>
            <w:fldChar w:fldCharType="begin"/>
          </w:r>
          <w:r>
            <w:rPr>
              <w:rFonts w:ascii="宋体" w:hAnsi="宋体"/>
            </w:rPr>
            <w:instrText xml:space="preserve"> TOC \o "1-3" \h \z \u </w:instrText>
          </w:r>
          <w:r>
            <w:rPr>
              <w:rFonts w:ascii="宋体" w:hAnsi="宋体"/>
            </w:rPr>
            <w:fldChar w:fldCharType="separate"/>
          </w:r>
          <w:r>
            <w:rPr>
              <w:rFonts w:ascii="宋体" w:hAnsi="宋体"/>
            </w:rPr>
            <w:fldChar w:fldCharType="begin"/>
          </w:r>
          <w:r>
            <w:rPr>
              <w:rFonts w:ascii="宋体" w:hAnsi="宋体"/>
            </w:rPr>
            <w:instrText xml:space="preserve"> HYPERLINK \l _Toc4801 </w:instrText>
          </w:r>
          <w:r>
            <w:rPr>
              <w:rFonts w:ascii="宋体" w:hAnsi="宋体"/>
            </w:rPr>
            <w:fldChar w:fldCharType="separate"/>
          </w:r>
          <w:r>
            <w:rPr>
              <w:rFonts w:hint="eastAsia"/>
            </w:rPr>
            <w:t>1 系统登陆及角色选择</w:t>
          </w:r>
          <w:r>
            <w:tab/>
          </w:r>
          <w:r>
            <w:fldChar w:fldCharType="begin"/>
          </w:r>
          <w:r>
            <w:instrText xml:space="preserve"> PAGEREF _Toc4801 \h </w:instrText>
          </w:r>
          <w:r>
            <w:fldChar w:fldCharType="separate"/>
          </w:r>
          <w:r>
            <w:t>2</w:t>
          </w:r>
          <w:r>
            <w:fldChar w:fldCharType="end"/>
          </w:r>
          <w:r>
            <w:rPr>
              <w:rFonts w:ascii="宋体" w:hAnsi="宋体"/>
            </w:rPr>
            <w:fldChar w:fldCharType="end"/>
          </w:r>
        </w:p>
        <w:p w14:paraId="3BD05667">
          <w:pPr>
            <w:pStyle w:val="12"/>
            <w:tabs>
              <w:tab w:val="right" w:leader="dot" w:pos="8306"/>
            </w:tabs>
          </w:pPr>
          <w:r>
            <w:rPr>
              <w:rFonts w:ascii="宋体" w:hAnsi="宋体"/>
              <w:bCs/>
              <w:lang w:val="zh-CN"/>
            </w:rPr>
            <w:fldChar w:fldCharType="begin"/>
          </w:r>
          <w:r>
            <w:rPr>
              <w:rFonts w:ascii="宋体" w:hAnsi="宋体"/>
              <w:bCs/>
              <w:lang w:val="zh-CN"/>
            </w:rPr>
            <w:instrText xml:space="preserve"> HYPERLINK \l _Toc25455 </w:instrText>
          </w:r>
          <w:r>
            <w:rPr>
              <w:rFonts w:ascii="宋体" w:hAnsi="宋体"/>
              <w:bCs/>
              <w:lang w:val="zh-CN"/>
            </w:rPr>
            <w:fldChar w:fldCharType="separate"/>
          </w:r>
          <w:r>
            <w:rPr>
              <w:rFonts w:hint="eastAsia"/>
            </w:rPr>
            <w:t>1.1 移动端登录</w:t>
          </w:r>
          <w:r>
            <w:tab/>
          </w:r>
          <w:r>
            <w:fldChar w:fldCharType="begin"/>
          </w:r>
          <w:r>
            <w:instrText xml:space="preserve"> PAGEREF _Toc25455 \h </w:instrText>
          </w:r>
          <w:r>
            <w:fldChar w:fldCharType="separate"/>
          </w:r>
          <w:r>
            <w:t>2</w:t>
          </w:r>
          <w:r>
            <w:fldChar w:fldCharType="end"/>
          </w:r>
          <w:r>
            <w:rPr>
              <w:rFonts w:ascii="宋体" w:hAnsi="宋体"/>
              <w:bCs/>
              <w:lang w:val="zh-CN"/>
            </w:rPr>
            <w:fldChar w:fldCharType="end"/>
          </w:r>
        </w:p>
        <w:p w14:paraId="19DBF4EE">
          <w:pPr>
            <w:pStyle w:val="12"/>
            <w:tabs>
              <w:tab w:val="right" w:leader="dot" w:pos="8306"/>
            </w:tabs>
          </w:pPr>
          <w:r>
            <w:rPr>
              <w:rFonts w:ascii="宋体" w:hAnsi="宋体"/>
              <w:bCs/>
              <w:lang w:val="zh-CN"/>
            </w:rPr>
            <w:fldChar w:fldCharType="begin"/>
          </w:r>
          <w:r>
            <w:rPr>
              <w:rFonts w:ascii="宋体" w:hAnsi="宋体"/>
              <w:bCs/>
              <w:lang w:val="zh-CN"/>
            </w:rPr>
            <w:instrText xml:space="preserve"> HYPERLINK \l _Toc25607 </w:instrText>
          </w:r>
          <w:r>
            <w:rPr>
              <w:rFonts w:ascii="宋体" w:hAnsi="宋体"/>
              <w:bCs/>
              <w:lang w:val="zh-CN"/>
            </w:rPr>
            <w:fldChar w:fldCharType="separate"/>
          </w:r>
          <w:r>
            <w:rPr>
              <w:rFonts w:hint="eastAsia"/>
            </w:rPr>
            <w:t>1.2 P</w:t>
          </w:r>
          <w:r>
            <w:t>C</w:t>
          </w:r>
          <w:r>
            <w:rPr>
              <w:rFonts w:hint="eastAsia"/>
            </w:rPr>
            <w:t>端登录</w:t>
          </w:r>
          <w:r>
            <w:tab/>
          </w:r>
          <w:r>
            <w:fldChar w:fldCharType="begin"/>
          </w:r>
          <w:r>
            <w:instrText xml:space="preserve"> PAGEREF _Toc25607 \h </w:instrText>
          </w:r>
          <w:r>
            <w:fldChar w:fldCharType="separate"/>
          </w:r>
          <w:r>
            <w:t>3</w:t>
          </w:r>
          <w:r>
            <w:fldChar w:fldCharType="end"/>
          </w:r>
          <w:r>
            <w:rPr>
              <w:rFonts w:ascii="宋体" w:hAnsi="宋体"/>
              <w:bCs/>
              <w:lang w:val="zh-CN"/>
            </w:rPr>
            <w:fldChar w:fldCharType="end"/>
          </w:r>
        </w:p>
        <w:p w14:paraId="1A7E22C3">
          <w:pPr>
            <w:pStyle w:val="11"/>
            <w:tabs>
              <w:tab w:val="right" w:leader="dot" w:pos="8306"/>
            </w:tabs>
          </w:pPr>
          <w:r>
            <w:rPr>
              <w:rFonts w:ascii="宋体" w:hAnsi="宋体"/>
              <w:bCs/>
              <w:lang w:val="zh-CN"/>
            </w:rPr>
            <w:fldChar w:fldCharType="begin"/>
          </w:r>
          <w:r>
            <w:rPr>
              <w:rFonts w:ascii="宋体" w:hAnsi="宋体"/>
              <w:bCs/>
              <w:lang w:val="zh-CN"/>
            </w:rPr>
            <w:instrText xml:space="preserve"> HYPERLINK \l _Toc27405 </w:instrText>
          </w:r>
          <w:r>
            <w:rPr>
              <w:rFonts w:ascii="宋体" w:hAnsi="宋体"/>
              <w:bCs/>
              <w:lang w:val="zh-CN"/>
            </w:rPr>
            <w:fldChar w:fldCharType="separate"/>
          </w:r>
          <w:r>
            <w:rPr>
              <w:rFonts w:hint="eastAsia"/>
            </w:rPr>
            <w:t>2 个人中心</w:t>
          </w:r>
          <w:r>
            <w:tab/>
          </w:r>
          <w:r>
            <w:fldChar w:fldCharType="begin"/>
          </w:r>
          <w:r>
            <w:instrText xml:space="preserve"> PAGEREF _Toc27405 \h </w:instrText>
          </w:r>
          <w:r>
            <w:fldChar w:fldCharType="separate"/>
          </w:r>
          <w:r>
            <w:t>5</w:t>
          </w:r>
          <w:r>
            <w:fldChar w:fldCharType="end"/>
          </w:r>
          <w:r>
            <w:rPr>
              <w:rFonts w:ascii="宋体" w:hAnsi="宋体"/>
              <w:bCs/>
              <w:lang w:val="zh-CN"/>
            </w:rPr>
            <w:fldChar w:fldCharType="end"/>
          </w:r>
        </w:p>
        <w:p w14:paraId="288F441F">
          <w:pPr>
            <w:pStyle w:val="12"/>
            <w:tabs>
              <w:tab w:val="right" w:leader="dot" w:pos="8306"/>
            </w:tabs>
          </w:pPr>
          <w:r>
            <w:rPr>
              <w:rFonts w:ascii="宋体" w:hAnsi="宋体"/>
              <w:bCs/>
              <w:lang w:val="zh-CN"/>
            </w:rPr>
            <w:fldChar w:fldCharType="begin"/>
          </w:r>
          <w:r>
            <w:rPr>
              <w:rFonts w:ascii="宋体" w:hAnsi="宋体"/>
              <w:bCs/>
              <w:lang w:val="zh-CN"/>
            </w:rPr>
            <w:instrText xml:space="preserve"> HYPERLINK \l _Toc22909 </w:instrText>
          </w:r>
          <w:r>
            <w:rPr>
              <w:rFonts w:ascii="宋体" w:hAnsi="宋体"/>
              <w:bCs/>
              <w:lang w:val="zh-CN"/>
            </w:rPr>
            <w:fldChar w:fldCharType="separate"/>
          </w:r>
          <w:r>
            <w:rPr>
              <w:rFonts w:hint="eastAsia"/>
            </w:rPr>
            <w:t>2.1 常规考试</w:t>
          </w:r>
          <w:r>
            <w:tab/>
          </w:r>
          <w:r>
            <w:fldChar w:fldCharType="begin"/>
          </w:r>
          <w:r>
            <w:instrText xml:space="preserve"> PAGEREF _Toc22909 \h </w:instrText>
          </w:r>
          <w:r>
            <w:fldChar w:fldCharType="separate"/>
          </w:r>
          <w:r>
            <w:t>5</w:t>
          </w:r>
          <w:r>
            <w:fldChar w:fldCharType="end"/>
          </w:r>
          <w:r>
            <w:rPr>
              <w:rFonts w:ascii="宋体" w:hAnsi="宋体"/>
              <w:bCs/>
              <w:lang w:val="zh-CN"/>
            </w:rPr>
            <w:fldChar w:fldCharType="end"/>
          </w:r>
        </w:p>
        <w:p w14:paraId="4BEAE083">
          <w:pPr>
            <w:pStyle w:val="8"/>
            <w:tabs>
              <w:tab w:val="right" w:leader="dot" w:pos="8306"/>
            </w:tabs>
          </w:pPr>
          <w:r>
            <w:rPr>
              <w:rFonts w:ascii="宋体" w:hAnsi="宋体"/>
              <w:bCs/>
              <w:lang w:val="zh-CN"/>
            </w:rPr>
            <w:fldChar w:fldCharType="begin"/>
          </w:r>
          <w:r>
            <w:rPr>
              <w:rFonts w:ascii="宋体" w:hAnsi="宋体"/>
              <w:bCs/>
              <w:lang w:val="zh-CN"/>
            </w:rPr>
            <w:instrText xml:space="preserve"> HYPERLINK \l _Toc27090 </w:instrText>
          </w:r>
          <w:r>
            <w:rPr>
              <w:rFonts w:ascii="宋体" w:hAnsi="宋体"/>
              <w:bCs/>
              <w:lang w:val="zh-CN"/>
            </w:rPr>
            <w:fldChar w:fldCharType="separate"/>
          </w:r>
          <w:r>
            <w:rPr>
              <w:rFonts w:hint="eastAsia"/>
            </w:rPr>
            <w:t>2.1.1 我的考试</w:t>
          </w:r>
          <w:r>
            <w:tab/>
          </w:r>
          <w:r>
            <w:fldChar w:fldCharType="begin"/>
          </w:r>
          <w:r>
            <w:instrText xml:space="preserve"> PAGEREF _Toc27090 \h </w:instrText>
          </w:r>
          <w:r>
            <w:fldChar w:fldCharType="separate"/>
          </w:r>
          <w:r>
            <w:t>5</w:t>
          </w:r>
          <w:r>
            <w:fldChar w:fldCharType="end"/>
          </w:r>
          <w:r>
            <w:rPr>
              <w:rFonts w:ascii="宋体" w:hAnsi="宋体"/>
              <w:bCs/>
              <w:lang w:val="zh-CN"/>
            </w:rPr>
            <w:fldChar w:fldCharType="end"/>
          </w:r>
        </w:p>
        <w:p w14:paraId="2198F3BD">
          <w:pPr>
            <w:pStyle w:val="8"/>
            <w:tabs>
              <w:tab w:val="right" w:leader="dot" w:pos="8306"/>
            </w:tabs>
          </w:pPr>
          <w:r>
            <w:rPr>
              <w:rFonts w:ascii="宋体" w:hAnsi="宋体"/>
              <w:bCs/>
              <w:lang w:val="zh-CN"/>
            </w:rPr>
            <w:fldChar w:fldCharType="begin"/>
          </w:r>
          <w:r>
            <w:rPr>
              <w:rFonts w:ascii="宋体" w:hAnsi="宋体"/>
              <w:bCs/>
              <w:lang w:val="zh-CN"/>
            </w:rPr>
            <w:instrText xml:space="preserve"> HYPERLINK \l _Toc13142 </w:instrText>
          </w:r>
          <w:r>
            <w:rPr>
              <w:rFonts w:ascii="宋体" w:hAnsi="宋体"/>
              <w:bCs/>
              <w:lang w:val="zh-CN"/>
            </w:rPr>
            <w:fldChar w:fldCharType="separate"/>
          </w:r>
          <w:r>
            <w:rPr>
              <w:rFonts w:hint="eastAsia"/>
            </w:rPr>
            <w:t>2.1.2 我的成绩</w:t>
          </w:r>
          <w:r>
            <w:tab/>
          </w:r>
          <w:r>
            <w:fldChar w:fldCharType="begin"/>
          </w:r>
          <w:r>
            <w:instrText xml:space="preserve"> PAGEREF _Toc13142 \h </w:instrText>
          </w:r>
          <w:r>
            <w:fldChar w:fldCharType="separate"/>
          </w:r>
          <w:r>
            <w:t>8</w:t>
          </w:r>
          <w:r>
            <w:fldChar w:fldCharType="end"/>
          </w:r>
          <w:r>
            <w:rPr>
              <w:rFonts w:ascii="宋体" w:hAnsi="宋体"/>
              <w:bCs/>
              <w:lang w:val="zh-CN"/>
            </w:rPr>
            <w:fldChar w:fldCharType="end"/>
          </w:r>
        </w:p>
        <w:p w14:paraId="1A423381">
          <w:pPr>
            <w:pStyle w:val="12"/>
            <w:tabs>
              <w:tab w:val="right" w:leader="dot" w:pos="8306"/>
            </w:tabs>
          </w:pPr>
          <w:r>
            <w:rPr>
              <w:rFonts w:ascii="宋体" w:hAnsi="宋体"/>
              <w:bCs/>
              <w:lang w:val="zh-CN"/>
            </w:rPr>
            <w:fldChar w:fldCharType="begin"/>
          </w:r>
          <w:r>
            <w:rPr>
              <w:rFonts w:ascii="宋体" w:hAnsi="宋体"/>
              <w:bCs/>
              <w:lang w:val="zh-CN"/>
            </w:rPr>
            <w:instrText xml:space="preserve"> HYPERLINK \l _Toc32498 </w:instrText>
          </w:r>
          <w:r>
            <w:rPr>
              <w:rFonts w:ascii="宋体" w:hAnsi="宋体"/>
              <w:bCs/>
              <w:lang w:val="zh-CN"/>
            </w:rPr>
            <w:fldChar w:fldCharType="separate"/>
          </w:r>
          <w:r>
            <w:rPr>
              <w:rFonts w:hint="eastAsia"/>
            </w:rPr>
            <w:t>2.2 收藏夹</w:t>
          </w:r>
          <w:r>
            <w:tab/>
          </w:r>
          <w:r>
            <w:fldChar w:fldCharType="begin"/>
          </w:r>
          <w:r>
            <w:instrText xml:space="preserve"> PAGEREF _Toc32498 \h </w:instrText>
          </w:r>
          <w:r>
            <w:fldChar w:fldCharType="separate"/>
          </w:r>
          <w:r>
            <w:t>8</w:t>
          </w:r>
          <w:r>
            <w:fldChar w:fldCharType="end"/>
          </w:r>
          <w:r>
            <w:rPr>
              <w:rFonts w:ascii="宋体" w:hAnsi="宋体"/>
              <w:bCs/>
              <w:lang w:val="zh-CN"/>
            </w:rPr>
            <w:fldChar w:fldCharType="end"/>
          </w:r>
        </w:p>
        <w:p w14:paraId="773F6591">
          <w:pPr>
            <w:pStyle w:val="11"/>
            <w:tabs>
              <w:tab w:val="right" w:leader="dot" w:pos="8306"/>
            </w:tabs>
          </w:pPr>
          <w:r>
            <w:rPr>
              <w:rFonts w:ascii="宋体" w:hAnsi="宋体"/>
              <w:bCs/>
              <w:lang w:val="zh-CN"/>
            </w:rPr>
            <w:fldChar w:fldCharType="begin"/>
          </w:r>
          <w:r>
            <w:rPr>
              <w:rFonts w:ascii="宋体" w:hAnsi="宋体"/>
              <w:bCs/>
              <w:lang w:val="zh-CN"/>
            </w:rPr>
            <w:instrText xml:space="preserve"> HYPERLINK \l _Toc7315 </w:instrText>
          </w:r>
          <w:r>
            <w:rPr>
              <w:rFonts w:ascii="宋体" w:hAnsi="宋体"/>
              <w:bCs/>
              <w:lang w:val="zh-CN"/>
            </w:rPr>
            <w:fldChar w:fldCharType="separate"/>
          </w:r>
          <w:r>
            <w:rPr>
              <w:rFonts w:hint="eastAsia"/>
            </w:rPr>
            <w:t>3 题库练习</w:t>
          </w:r>
          <w:r>
            <w:tab/>
          </w:r>
          <w:r>
            <w:fldChar w:fldCharType="begin"/>
          </w:r>
          <w:r>
            <w:instrText xml:space="preserve"> PAGEREF _Toc7315 \h </w:instrText>
          </w:r>
          <w:r>
            <w:fldChar w:fldCharType="separate"/>
          </w:r>
          <w:r>
            <w:t>9</w:t>
          </w:r>
          <w:r>
            <w:fldChar w:fldCharType="end"/>
          </w:r>
          <w:r>
            <w:rPr>
              <w:rFonts w:ascii="宋体" w:hAnsi="宋体"/>
              <w:bCs/>
              <w:lang w:val="zh-CN"/>
            </w:rPr>
            <w:fldChar w:fldCharType="end"/>
          </w:r>
        </w:p>
        <w:p w14:paraId="26EF0F65">
          <w:pPr>
            <w:pStyle w:val="11"/>
            <w:tabs>
              <w:tab w:val="right" w:leader="dot" w:pos="8306"/>
            </w:tabs>
          </w:pPr>
          <w:r>
            <w:rPr>
              <w:rFonts w:ascii="宋体" w:hAnsi="宋体"/>
              <w:bCs/>
              <w:lang w:val="zh-CN"/>
            </w:rPr>
            <w:fldChar w:fldCharType="begin"/>
          </w:r>
          <w:r>
            <w:rPr>
              <w:rFonts w:ascii="宋体" w:hAnsi="宋体"/>
              <w:bCs/>
              <w:lang w:val="zh-CN"/>
            </w:rPr>
            <w:instrText xml:space="preserve"> HYPERLINK \l _Toc6022 </w:instrText>
          </w:r>
          <w:r>
            <w:rPr>
              <w:rFonts w:ascii="宋体" w:hAnsi="宋体"/>
              <w:bCs/>
              <w:lang w:val="zh-CN"/>
            </w:rPr>
            <w:fldChar w:fldCharType="separate"/>
          </w:r>
          <w:r>
            <w:rPr>
              <w:rFonts w:hint="eastAsia"/>
            </w:rPr>
            <w:t>4 安全知识库</w:t>
          </w:r>
          <w:r>
            <w:tab/>
          </w:r>
          <w:r>
            <w:fldChar w:fldCharType="begin"/>
          </w:r>
          <w:r>
            <w:instrText xml:space="preserve"> PAGEREF _Toc6022 \h </w:instrText>
          </w:r>
          <w:r>
            <w:fldChar w:fldCharType="separate"/>
          </w:r>
          <w:r>
            <w:t>10</w:t>
          </w:r>
          <w:r>
            <w:fldChar w:fldCharType="end"/>
          </w:r>
          <w:r>
            <w:rPr>
              <w:rFonts w:ascii="宋体" w:hAnsi="宋体"/>
              <w:bCs/>
              <w:lang w:val="zh-CN"/>
            </w:rPr>
            <w:fldChar w:fldCharType="end"/>
          </w:r>
        </w:p>
        <w:p w14:paraId="7000024B">
          <w:pPr>
            <w:pStyle w:val="11"/>
            <w:tabs>
              <w:tab w:val="right" w:leader="dot" w:pos="8306"/>
            </w:tabs>
          </w:pPr>
          <w:r>
            <w:rPr>
              <w:rFonts w:ascii="宋体" w:hAnsi="宋体"/>
              <w:bCs/>
              <w:lang w:val="zh-CN"/>
            </w:rPr>
            <w:fldChar w:fldCharType="begin"/>
          </w:r>
          <w:r>
            <w:rPr>
              <w:rFonts w:ascii="宋体" w:hAnsi="宋体"/>
              <w:bCs/>
              <w:lang w:val="zh-CN"/>
            </w:rPr>
            <w:instrText xml:space="preserve"> HYPERLINK \l _Toc27549 </w:instrText>
          </w:r>
          <w:r>
            <w:rPr>
              <w:rFonts w:ascii="宋体" w:hAnsi="宋体"/>
              <w:bCs/>
              <w:lang w:val="zh-CN"/>
            </w:rPr>
            <w:fldChar w:fldCharType="separate"/>
          </w:r>
          <w:r>
            <w:rPr>
              <w:rFonts w:hint="eastAsia"/>
            </w:rPr>
            <w:t>5 首页</w:t>
          </w:r>
          <w:r>
            <w:tab/>
          </w:r>
          <w:r>
            <w:fldChar w:fldCharType="begin"/>
          </w:r>
          <w:r>
            <w:instrText xml:space="preserve"> PAGEREF _Toc27549 \h </w:instrText>
          </w:r>
          <w:r>
            <w:fldChar w:fldCharType="separate"/>
          </w:r>
          <w:r>
            <w:t>10</w:t>
          </w:r>
          <w:r>
            <w:fldChar w:fldCharType="end"/>
          </w:r>
          <w:r>
            <w:rPr>
              <w:rFonts w:ascii="宋体" w:hAnsi="宋体"/>
              <w:bCs/>
              <w:lang w:val="zh-CN"/>
            </w:rPr>
            <w:fldChar w:fldCharType="end"/>
          </w:r>
        </w:p>
        <w:p w14:paraId="1CA05FA8">
          <w:pPr>
            <w:pStyle w:val="12"/>
            <w:tabs>
              <w:tab w:val="right" w:leader="dot" w:pos="8306"/>
            </w:tabs>
          </w:pPr>
          <w:r>
            <w:rPr>
              <w:rFonts w:ascii="宋体" w:hAnsi="宋体"/>
              <w:bCs/>
              <w:lang w:val="zh-CN"/>
            </w:rPr>
            <w:fldChar w:fldCharType="begin"/>
          </w:r>
          <w:r>
            <w:rPr>
              <w:rFonts w:ascii="宋体" w:hAnsi="宋体"/>
              <w:bCs/>
              <w:lang w:val="zh-CN"/>
            </w:rPr>
            <w:instrText xml:space="preserve"> HYPERLINK \l _Toc7990 </w:instrText>
          </w:r>
          <w:r>
            <w:rPr>
              <w:rFonts w:ascii="宋体" w:hAnsi="宋体"/>
              <w:bCs/>
              <w:lang w:val="zh-CN"/>
            </w:rPr>
            <w:fldChar w:fldCharType="separate"/>
          </w:r>
          <w:r>
            <w:rPr>
              <w:rFonts w:hint="eastAsia"/>
            </w:rPr>
            <w:t>5.1 顶部导航栏</w:t>
          </w:r>
          <w:r>
            <w:tab/>
          </w:r>
          <w:r>
            <w:fldChar w:fldCharType="begin"/>
          </w:r>
          <w:r>
            <w:instrText xml:space="preserve"> PAGEREF _Toc7990 \h </w:instrText>
          </w:r>
          <w:r>
            <w:fldChar w:fldCharType="separate"/>
          </w:r>
          <w:r>
            <w:t>11</w:t>
          </w:r>
          <w:r>
            <w:fldChar w:fldCharType="end"/>
          </w:r>
          <w:r>
            <w:rPr>
              <w:rFonts w:ascii="宋体" w:hAnsi="宋体"/>
              <w:bCs/>
              <w:lang w:val="zh-CN"/>
            </w:rPr>
            <w:fldChar w:fldCharType="end"/>
          </w:r>
        </w:p>
        <w:p w14:paraId="1F10DA0F">
          <w:pPr>
            <w:pStyle w:val="12"/>
            <w:tabs>
              <w:tab w:val="right" w:leader="dot" w:pos="8306"/>
            </w:tabs>
          </w:pPr>
          <w:r>
            <w:rPr>
              <w:rFonts w:ascii="宋体" w:hAnsi="宋体"/>
              <w:bCs/>
              <w:lang w:val="zh-CN"/>
            </w:rPr>
            <w:fldChar w:fldCharType="begin"/>
          </w:r>
          <w:r>
            <w:rPr>
              <w:rFonts w:ascii="宋体" w:hAnsi="宋体"/>
              <w:bCs/>
              <w:lang w:val="zh-CN"/>
            </w:rPr>
            <w:instrText xml:space="preserve"> HYPERLINK \l _Toc14522 </w:instrText>
          </w:r>
          <w:r>
            <w:rPr>
              <w:rFonts w:ascii="宋体" w:hAnsi="宋体"/>
              <w:bCs/>
              <w:lang w:val="zh-CN"/>
            </w:rPr>
            <w:fldChar w:fldCharType="separate"/>
          </w:r>
          <w:r>
            <w:rPr>
              <w:rFonts w:hint="eastAsia"/>
            </w:rPr>
            <w:t>5.2 通知公告与政策法规</w:t>
          </w:r>
          <w:r>
            <w:tab/>
          </w:r>
          <w:r>
            <w:fldChar w:fldCharType="begin"/>
          </w:r>
          <w:r>
            <w:instrText xml:space="preserve"> PAGEREF _Toc14522 \h </w:instrText>
          </w:r>
          <w:r>
            <w:fldChar w:fldCharType="separate"/>
          </w:r>
          <w:r>
            <w:t>11</w:t>
          </w:r>
          <w:r>
            <w:fldChar w:fldCharType="end"/>
          </w:r>
          <w:r>
            <w:rPr>
              <w:rFonts w:ascii="宋体" w:hAnsi="宋体"/>
              <w:bCs/>
              <w:lang w:val="zh-CN"/>
            </w:rPr>
            <w:fldChar w:fldCharType="end"/>
          </w:r>
        </w:p>
        <w:p w14:paraId="418EB131">
          <w:pPr>
            <w:pStyle w:val="12"/>
            <w:tabs>
              <w:tab w:val="right" w:leader="dot" w:pos="8306"/>
            </w:tabs>
          </w:pPr>
          <w:r>
            <w:rPr>
              <w:rFonts w:ascii="宋体" w:hAnsi="宋体"/>
              <w:bCs/>
              <w:lang w:val="zh-CN"/>
            </w:rPr>
            <w:fldChar w:fldCharType="begin"/>
          </w:r>
          <w:r>
            <w:rPr>
              <w:rFonts w:ascii="宋体" w:hAnsi="宋体"/>
              <w:bCs/>
              <w:lang w:val="zh-CN"/>
            </w:rPr>
            <w:instrText xml:space="preserve"> HYPERLINK \l _Toc17266 </w:instrText>
          </w:r>
          <w:r>
            <w:rPr>
              <w:rFonts w:ascii="宋体" w:hAnsi="宋体"/>
              <w:bCs/>
              <w:lang w:val="zh-CN"/>
            </w:rPr>
            <w:fldChar w:fldCharType="separate"/>
          </w:r>
          <w:r>
            <w:rPr>
              <w:rFonts w:hint="eastAsia"/>
            </w:rPr>
            <w:t>5.3 安全百科</w:t>
          </w:r>
          <w:r>
            <w:tab/>
          </w:r>
          <w:r>
            <w:fldChar w:fldCharType="begin"/>
          </w:r>
          <w:r>
            <w:instrText xml:space="preserve"> PAGEREF _Toc17266 \h </w:instrText>
          </w:r>
          <w:r>
            <w:fldChar w:fldCharType="separate"/>
          </w:r>
          <w:r>
            <w:t>12</w:t>
          </w:r>
          <w:r>
            <w:fldChar w:fldCharType="end"/>
          </w:r>
          <w:r>
            <w:rPr>
              <w:rFonts w:ascii="宋体" w:hAnsi="宋体"/>
              <w:bCs/>
              <w:lang w:val="zh-CN"/>
            </w:rPr>
            <w:fldChar w:fldCharType="end"/>
          </w:r>
        </w:p>
        <w:p w14:paraId="02F07C72">
          <w:pPr>
            <w:pStyle w:val="12"/>
            <w:tabs>
              <w:tab w:val="right" w:leader="dot" w:pos="8306"/>
            </w:tabs>
          </w:pPr>
          <w:r>
            <w:rPr>
              <w:rFonts w:ascii="宋体" w:hAnsi="宋体"/>
              <w:bCs/>
              <w:lang w:val="zh-CN"/>
            </w:rPr>
            <w:fldChar w:fldCharType="begin"/>
          </w:r>
          <w:r>
            <w:rPr>
              <w:rFonts w:ascii="宋体" w:hAnsi="宋体"/>
              <w:bCs/>
              <w:lang w:val="zh-CN"/>
            </w:rPr>
            <w:instrText xml:space="preserve"> HYPERLINK \l _Toc243 </w:instrText>
          </w:r>
          <w:r>
            <w:rPr>
              <w:rFonts w:ascii="宋体" w:hAnsi="宋体"/>
              <w:bCs/>
              <w:lang w:val="zh-CN"/>
            </w:rPr>
            <w:fldChar w:fldCharType="separate"/>
          </w:r>
          <w:r>
            <w:rPr>
              <w:rFonts w:hint="eastAsia"/>
            </w:rPr>
            <w:t>5.4 安全知识库</w:t>
          </w:r>
          <w:r>
            <w:tab/>
          </w:r>
          <w:r>
            <w:fldChar w:fldCharType="begin"/>
          </w:r>
          <w:r>
            <w:instrText xml:space="preserve"> PAGEREF _Toc243 \h </w:instrText>
          </w:r>
          <w:r>
            <w:fldChar w:fldCharType="separate"/>
          </w:r>
          <w:r>
            <w:t>12</w:t>
          </w:r>
          <w:r>
            <w:fldChar w:fldCharType="end"/>
          </w:r>
          <w:r>
            <w:rPr>
              <w:rFonts w:ascii="宋体" w:hAnsi="宋体"/>
              <w:bCs/>
              <w:lang w:val="zh-CN"/>
            </w:rPr>
            <w:fldChar w:fldCharType="end"/>
          </w:r>
        </w:p>
        <w:p w14:paraId="0B352AF4">
          <w:pPr>
            <w:pStyle w:val="11"/>
            <w:tabs>
              <w:tab w:val="right" w:leader="dot" w:pos="8306"/>
            </w:tabs>
          </w:pPr>
          <w:r>
            <w:rPr>
              <w:rFonts w:ascii="宋体" w:hAnsi="宋体"/>
              <w:bCs/>
              <w:lang w:val="zh-CN"/>
            </w:rPr>
            <w:fldChar w:fldCharType="begin"/>
          </w:r>
          <w:r>
            <w:rPr>
              <w:rFonts w:ascii="宋体" w:hAnsi="宋体"/>
              <w:bCs/>
              <w:lang w:val="zh-CN"/>
            </w:rPr>
            <w:instrText xml:space="preserve"> HYPERLINK \l _Toc17699 </w:instrText>
          </w:r>
          <w:r>
            <w:rPr>
              <w:rFonts w:ascii="宋体" w:hAnsi="宋体"/>
              <w:bCs/>
              <w:lang w:val="zh-CN"/>
            </w:rPr>
            <w:fldChar w:fldCharType="separate"/>
          </w:r>
          <w:r>
            <w:rPr>
              <w:rFonts w:hint="eastAsia"/>
            </w:rPr>
            <w:t>6 通知公告</w:t>
          </w:r>
          <w:r>
            <w:tab/>
          </w:r>
          <w:r>
            <w:fldChar w:fldCharType="begin"/>
          </w:r>
          <w:r>
            <w:instrText xml:space="preserve"> PAGEREF _Toc17699 \h </w:instrText>
          </w:r>
          <w:r>
            <w:fldChar w:fldCharType="separate"/>
          </w:r>
          <w:r>
            <w:t>13</w:t>
          </w:r>
          <w:r>
            <w:fldChar w:fldCharType="end"/>
          </w:r>
          <w:r>
            <w:rPr>
              <w:rFonts w:ascii="宋体" w:hAnsi="宋体"/>
              <w:bCs/>
              <w:lang w:val="zh-CN"/>
            </w:rPr>
            <w:fldChar w:fldCharType="end"/>
          </w:r>
        </w:p>
        <w:p w14:paraId="5C3C34BF">
          <w:pPr>
            <w:pStyle w:val="11"/>
            <w:tabs>
              <w:tab w:val="right" w:leader="dot" w:pos="8306"/>
            </w:tabs>
          </w:pPr>
          <w:r>
            <w:rPr>
              <w:rFonts w:ascii="宋体" w:hAnsi="宋体"/>
              <w:bCs/>
              <w:lang w:val="zh-CN"/>
            </w:rPr>
            <w:fldChar w:fldCharType="begin"/>
          </w:r>
          <w:r>
            <w:rPr>
              <w:rFonts w:ascii="宋体" w:hAnsi="宋体"/>
              <w:bCs/>
              <w:lang w:val="zh-CN"/>
            </w:rPr>
            <w:instrText xml:space="preserve"> HYPERLINK \l _Toc364 </w:instrText>
          </w:r>
          <w:r>
            <w:rPr>
              <w:rFonts w:ascii="宋体" w:hAnsi="宋体"/>
              <w:bCs/>
              <w:lang w:val="zh-CN"/>
            </w:rPr>
            <w:fldChar w:fldCharType="separate"/>
          </w:r>
          <w:r>
            <w:rPr>
              <w:rFonts w:hint="eastAsia"/>
            </w:rPr>
            <w:t>7 政策法规</w:t>
          </w:r>
          <w:r>
            <w:tab/>
          </w:r>
          <w:r>
            <w:fldChar w:fldCharType="begin"/>
          </w:r>
          <w:r>
            <w:instrText xml:space="preserve"> PAGEREF _Toc364 \h </w:instrText>
          </w:r>
          <w:r>
            <w:fldChar w:fldCharType="separate"/>
          </w:r>
          <w:r>
            <w:t>13</w:t>
          </w:r>
          <w:r>
            <w:fldChar w:fldCharType="end"/>
          </w:r>
          <w:r>
            <w:rPr>
              <w:rFonts w:ascii="宋体" w:hAnsi="宋体"/>
              <w:bCs/>
              <w:lang w:val="zh-CN"/>
            </w:rPr>
            <w:fldChar w:fldCharType="end"/>
          </w:r>
        </w:p>
        <w:p w14:paraId="507B5909">
          <w:pPr>
            <w:spacing w:line="324" w:lineRule="auto"/>
            <w:ind w:firstLine="0" w:firstLineChars="0"/>
          </w:pPr>
          <w:r>
            <w:rPr>
              <w:rFonts w:ascii="宋体" w:hAnsi="宋体"/>
              <w:bCs/>
              <w:lang w:val="zh-CN"/>
            </w:rPr>
            <w:fldChar w:fldCharType="end"/>
          </w:r>
        </w:p>
      </w:sdtContent>
    </w:sdt>
    <w:p w14:paraId="78A79E33">
      <w:pPr>
        <w:ind w:firstLine="0" w:firstLineChars="0"/>
        <w:jc w:val="left"/>
        <w:rPr>
          <w:rFonts w:ascii="宋体" w:hAnsi="宋体" w:cstheme="minorBidi"/>
          <w:spacing w:val="5"/>
          <w:sz w:val="32"/>
          <w:szCs w:val="32"/>
        </w:rPr>
      </w:pPr>
      <w:r>
        <w:br w:type="page"/>
      </w:r>
    </w:p>
    <w:p w14:paraId="37CB82F6">
      <w:pPr>
        <w:pStyle w:val="4"/>
      </w:pPr>
      <w:bookmarkStart w:id="0" w:name="_Toc4801"/>
      <w:r>
        <w:rPr>
          <w:rFonts w:hint="eastAsia"/>
        </w:rPr>
        <w:t>系统登陆及角色选择</w:t>
      </w:r>
      <w:bookmarkEnd w:id="0"/>
    </w:p>
    <w:p w14:paraId="7F9E6F18">
      <w:pPr>
        <w:pStyle w:val="5"/>
      </w:pPr>
      <w:bookmarkStart w:id="1" w:name="_Toc25455"/>
      <w:r>
        <w:rPr>
          <w:rFonts w:hint="eastAsia"/>
        </w:rPr>
        <w:t>移动端登录</w:t>
      </w:r>
      <w:bookmarkEnd w:id="1"/>
    </w:p>
    <w:p w14:paraId="45254281">
      <w:pPr>
        <w:pStyle w:val="2"/>
        <w:spacing w:after="0"/>
        <w:ind w:left="0" w:leftChars="0" w:firstLine="0" w:firstLineChars="0"/>
        <w:jc w:val="left"/>
        <w:rPr>
          <w:rFonts w:ascii="宋体" w:hAnsi="宋体"/>
        </w:rPr>
      </w:pPr>
      <w:r>
        <w:rPr>
          <w:rFonts w:hint="eastAsia"/>
        </w:rPr>
        <w:t>在</w:t>
      </w:r>
      <w:r>
        <w:rPr>
          <w:rFonts w:hint="eastAsia"/>
          <w:lang w:val="en-US" w:eastAsia="zh-CN"/>
        </w:rPr>
        <w:t>手机</w:t>
      </w:r>
      <w:r>
        <w:rPr>
          <w:rFonts w:hint="eastAsia"/>
        </w:rPr>
        <w:t>浏览器地址栏中输入</w:t>
      </w:r>
      <w:r>
        <w:rPr>
          <w:rFonts w:hint="eastAsia" w:ascii="宋体" w:hAnsi="宋体" w:cs="宋体"/>
          <w:b/>
          <w:bCs/>
          <w:color w:val="auto"/>
          <w:sz w:val="24"/>
          <w:szCs w:val="24"/>
          <w:u w:val="none"/>
          <w:lang w:eastAsia="zh-CN"/>
        </w:rPr>
        <w:t>http://10.210.156.12</w:t>
      </w:r>
      <w:r>
        <w:rPr>
          <w:rFonts w:ascii="宋体" w:hAnsi="宋体" w:eastAsia="宋体" w:cs="宋体"/>
          <w:b/>
          <w:bCs/>
          <w:color w:val="auto"/>
          <w:sz w:val="24"/>
          <w:szCs w:val="24"/>
          <w:u w:val="none"/>
        </w:rPr>
        <w:t>/lab-platform-mobile/</w:t>
      </w:r>
      <w:r>
        <w:rPr>
          <w:rFonts w:hint="eastAsia"/>
        </w:rPr>
        <w:t>进入登录页面，</w:t>
      </w:r>
      <w:r>
        <w:rPr>
          <w:rFonts w:hint="eastAsia" w:ascii="宋体" w:hAnsi="宋体"/>
        </w:rPr>
        <w:t>也可通过</w:t>
      </w:r>
      <w:r>
        <w:rPr>
          <w:rFonts w:hint="eastAsia" w:ascii="宋体" w:hAnsi="宋体"/>
          <w:b/>
        </w:rPr>
        <w:t>手机移动端扫码进入</w:t>
      </w:r>
      <w:r>
        <w:rPr>
          <w:rFonts w:hint="eastAsia" w:ascii="宋体" w:hAnsi="宋体"/>
        </w:rPr>
        <w:t>。</w:t>
      </w:r>
      <w:r>
        <w:rPr>
          <w:rFonts w:hint="eastAsia"/>
          <w:lang w:val="en-US" w:eastAsia="zh-CN"/>
        </w:rPr>
        <w:t>使用学工号作为账号，</w:t>
      </w:r>
      <w:r>
        <w:rPr>
          <w:rFonts w:hint="eastAsia" w:ascii="宋体" w:hAnsi="宋体" w:eastAsia="宋体" w:cs="宋体"/>
          <w:sz w:val="24"/>
          <w:szCs w:val="24"/>
        </w:rPr>
        <w:t>Gzmz</w:t>
      </w:r>
      <w:r>
        <w:rPr>
          <w:rFonts w:hint="eastAsia" w:ascii="宋体" w:hAnsi="宋体" w:cs="宋体"/>
          <w:sz w:val="24"/>
          <w:szCs w:val="24"/>
          <w:lang w:val="en-US" w:eastAsia="zh-CN"/>
        </w:rPr>
        <w:t>+</w:t>
      </w:r>
      <w:r>
        <w:rPr>
          <w:rFonts w:hint="eastAsia" w:ascii="宋体" w:hAnsi="宋体" w:eastAsia="宋体" w:cs="宋体"/>
          <w:sz w:val="24"/>
          <w:szCs w:val="24"/>
        </w:rPr>
        <w:t>学工号</w:t>
      </w:r>
      <w:r>
        <w:rPr>
          <w:rFonts w:hint="eastAsia" w:ascii="宋体" w:hAnsi="宋体" w:cs="宋体"/>
          <w:sz w:val="24"/>
          <w:szCs w:val="24"/>
          <w:lang w:val="en-US" w:eastAsia="zh-CN"/>
        </w:rPr>
        <w:t>作为密码登录系统</w:t>
      </w:r>
      <w:r>
        <w:rPr>
          <w:rFonts w:hint="eastAsia"/>
        </w:rPr>
        <w:t>。</w:t>
      </w:r>
    </w:p>
    <w:p w14:paraId="3DB47666">
      <w:pPr>
        <w:pStyle w:val="2"/>
        <w:spacing w:after="0" w:line="0" w:lineRule="atLeast"/>
        <w:ind w:left="0" w:leftChars="0" w:firstLine="0" w:firstLineChars="0"/>
        <w:jc w:val="center"/>
        <w:rPr>
          <w:rFonts w:hint="eastAsia" w:eastAsia="宋体"/>
          <w:lang w:eastAsia="zh-CN"/>
        </w:rPr>
      </w:pPr>
      <w:r>
        <w:rPr>
          <w:rFonts w:hint="eastAsia"/>
        </w:rPr>
        <w:t xml:space="preserve"> </w:t>
      </w:r>
      <w:r>
        <w:drawing>
          <wp:inline distT="0" distB="0" distL="114300" distR="114300">
            <wp:extent cx="1654810" cy="1668780"/>
            <wp:effectExtent l="0" t="0" r="2540"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1654810" cy="1668780"/>
                    </a:xfrm>
                    <a:prstGeom prst="rect">
                      <a:avLst/>
                    </a:prstGeom>
                    <a:noFill/>
                    <a:ln>
                      <a:noFill/>
                    </a:ln>
                  </pic:spPr>
                </pic:pic>
              </a:graphicData>
            </a:graphic>
          </wp:inline>
        </w:drawing>
      </w:r>
    </w:p>
    <w:p w14:paraId="481F9C77">
      <w:pPr>
        <w:pStyle w:val="2"/>
        <w:spacing w:after="0" w:line="0" w:lineRule="atLeast"/>
        <w:ind w:left="0" w:leftChars="0" w:firstLine="0" w:firstLineChars="0"/>
        <w:jc w:val="center"/>
      </w:pPr>
      <w:r>
        <w:drawing>
          <wp:inline distT="0" distB="0" distL="114300" distR="114300">
            <wp:extent cx="2739390" cy="2962275"/>
            <wp:effectExtent l="0" t="0" r="3810" b="952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14"/>
                    <a:stretch>
                      <a:fillRect/>
                    </a:stretch>
                  </pic:blipFill>
                  <pic:spPr>
                    <a:xfrm>
                      <a:off x="0" y="0"/>
                      <a:ext cx="2739390" cy="2962275"/>
                    </a:xfrm>
                    <a:prstGeom prst="rect">
                      <a:avLst/>
                    </a:prstGeom>
                    <a:noFill/>
                    <a:ln>
                      <a:noFill/>
                    </a:ln>
                  </pic:spPr>
                </pic:pic>
              </a:graphicData>
            </a:graphic>
          </wp:inline>
        </w:drawing>
      </w:r>
    </w:p>
    <w:p w14:paraId="42EFA944">
      <w:pPr>
        <w:pStyle w:val="2"/>
        <w:spacing w:after="0"/>
        <w:ind w:left="0" w:leftChars="0" w:firstLine="480"/>
        <w:rPr>
          <w:rFonts w:hint="eastAsia" w:ascii="宋体" w:hAnsi="宋体"/>
          <w:lang w:val="en-US" w:eastAsia="zh-CN"/>
        </w:rPr>
      </w:pPr>
      <w:r>
        <w:rPr>
          <w:rFonts w:hint="eastAsia" w:ascii="宋体" w:hAnsi="宋体"/>
          <w:lang w:val="en-US" w:eastAsia="zh-CN"/>
        </w:rPr>
        <w:t>点击“实验室</w:t>
      </w:r>
      <w:bookmarkStart w:id="27" w:name="_GoBack"/>
      <w:bookmarkEnd w:id="27"/>
      <w:r>
        <w:rPr>
          <w:rFonts w:hint="eastAsia" w:ascii="宋体" w:hAnsi="宋体"/>
          <w:lang w:val="en-US" w:eastAsia="zh-CN"/>
        </w:rPr>
        <w:t>安全考试系统”。</w:t>
      </w:r>
    </w:p>
    <w:p w14:paraId="633ED32A">
      <w:pPr>
        <w:pStyle w:val="2"/>
        <w:spacing w:after="0"/>
        <w:ind w:left="0" w:leftChars="0" w:firstLine="0" w:firstLineChars="0"/>
        <w:jc w:val="center"/>
        <w:rPr>
          <w:rFonts w:hint="eastAsia" w:ascii="宋体" w:hAnsi="宋体"/>
          <w:lang w:val="en-US" w:eastAsia="zh-CN"/>
        </w:rPr>
      </w:pPr>
      <w:r>
        <w:drawing>
          <wp:inline distT="0" distB="0" distL="114300" distR="114300">
            <wp:extent cx="2638425" cy="2002790"/>
            <wp:effectExtent l="0" t="0" r="9525" b="1651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5"/>
                    <a:stretch>
                      <a:fillRect/>
                    </a:stretch>
                  </pic:blipFill>
                  <pic:spPr>
                    <a:xfrm>
                      <a:off x="0" y="0"/>
                      <a:ext cx="2638425" cy="2002790"/>
                    </a:xfrm>
                    <a:prstGeom prst="rect">
                      <a:avLst/>
                    </a:prstGeom>
                    <a:noFill/>
                    <a:ln>
                      <a:noFill/>
                    </a:ln>
                  </pic:spPr>
                </pic:pic>
              </a:graphicData>
            </a:graphic>
          </wp:inline>
        </w:drawing>
      </w:r>
    </w:p>
    <w:p w14:paraId="137C2054">
      <w:pPr>
        <w:pStyle w:val="2"/>
        <w:spacing w:after="0"/>
        <w:ind w:left="0" w:leftChars="0" w:firstLine="480"/>
        <w:rPr>
          <w:rFonts w:ascii="宋体" w:hAnsi="宋体"/>
        </w:rPr>
      </w:pPr>
      <w:r>
        <w:rPr>
          <w:rFonts w:hint="eastAsia" w:ascii="宋体" w:hAnsi="宋体"/>
        </w:rPr>
        <w:t>可在移动端直接进行在线学习、题库练习、在线考试、查询成绩与资质。</w:t>
      </w:r>
    </w:p>
    <w:p w14:paraId="434B4E21">
      <w:pPr>
        <w:pStyle w:val="2"/>
        <w:spacing w:after="0" w:line="0" w:lineRule="atLeast"/>
        <w:ind w:left="0" w:leftChars="0" w:firstLine="0" w:firstLineChars="0"/>
        <w:jc w:val="center"/>
      </w:pPr>
      <w:r>
        <w:rPr>
          <w:rFonts w:hint="eastAsia"/>
        </w:rPr>
        <w:t xml:space="preserve"> </w:t>
      </w:r>
      <w:r>
        <w:t xml:space="preserve"> </w:t>
      </w:r>
      <w:r>
        <w:drawing>
          <wp:inline distT="0" distB="0" distL="114300" distR="114300">
            <wp:extent cx="2792095" cy="3054350"/>
            <wp:effectExtent l="0" t="0" r="8255" b="1270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6"/>
                    <a:stretch>
                      <a:fillRect/>
                    </a:stretch>
                  </pic:blipFill>
                  <pic:spPr>
                    <a:xfrm>
                      <a:off x="0" y="0"/>
                      <a:ext cx="2792095" cy="3054350"/>
                    </a:xfrm>
                    <a:prstGeom prst="rect">
                      <a:avLst/>
                    </a:prstGeom>
                    <a:noFill/>
                    <a:ln>
                      <a:noFill/>
                    </a:ln>
                  </pic:spPr>
                </pic:pic>
              </a:graphicData>
            </a:graphic>
          </wp:inline>
        </w:drawing>
      </w:r>
    </w:p>
    <w:p w14:paraId="0BDBCD9E">
      <w:pPr>
        <w:ind w:left="0" w:leftChars="0" w:firstLine="0" w:firstLineChars="0"/>
      </w:pPr>
    </w:p>
    <w:p w14:paraId="3A5E2B32">
      <w:pPr>
        <w:pStyle w:val="5"/>
      </w:pPr>
      <w:bookmarkStart w:id="2" w:name="_Toc25607"/>
      <w:r>
        <w:rPr>
          <w:rFonts w:hint="eastAsia"/>
        </w:rPr>
        <w:t>P</w:t>
      </w:r>
      <w:r>
        <w:t>C</w:t>
      </w:r>
      <w:r>
        <w:rPr>
          <w:rFonts w:hint="eastAsia"/>
        </w:rPr>
        <w:t>端登录</w:t>
      </w:r>
      <w:bookmarkEnd w:id="2"/>
    </w:p>
    <w:p w14:paraId="6F60FA3D">
      <w:pPr>
        <w:pStyle w:val="2"/>
        <w:spacing w:after="0"/>
        <w:ind w:left="0" w:leftChars="0" w:firstLine="480"/>
        <w:rPr>
          <w:rFonts w:hint="eastAsia"/>
        </w:rPr>
      </w:pPr>
      <w:r>
        <w:rPr>
          <w:rFonts w:hint="eastAsia"/>
        </w:rPr>
        <w:t>在浏览器地址栏中输入</w:t>
      </w:r>
      <w:r>
        <w:rPr>
          <w:rFonts w:hint="eastAsia" w:ascii="宋体" w:hAnsi="宋体" w:cs="宋体"/>
          <w:b/>
          <w:bCs/>
          <w:color w:val="auto"/>
          <w:sz w:val="24"/>
          <w:szCs w:val="24"/>
          <w:u w:val="none"/>
          <w:lang w:eastAsia="zh-CN"/>
        </w:rPr>
        <w:t>http://10.210.156.12</w:t>
      </w:r>
      <w:r>
        <w:rPr>
          <w:rFonts w:ascii="宋体" w:hAnsi="宋体" w:eastAsia="宋体" w:cs="宋体"/>
          <w:b/>
          <w:bCs/>
          <w:color w:val="auto"/>
          <w:sz w:val="24"/>
          <w:szCs w:val="24"/>
          <w:u w:val="none"/>
        </w:rPr>
        <w:t>/lab-platform</w:t>
      </w:r>
      <w:r>
        <w:rPr>
          <w:rFonts w:hint="eastAsia"/>
        </w:rPr>
        <w:t>进入登录页面，</w:t>
      </w:r>
      <w:r>
        <w:rPr>
          <w:rFonts w:hint="eastAsia"/>
          <w:lang w:val="en-US" w:eastAsia="zh-CN"/>
        </w:rPr>
        <w:t>使用学工号作为账号，</w:t>
      </w:r>
      <w:r>
        <w:rPr>
          <w:rFonts w:hint="eastAsia" w:ascii="宋体" w:hAnsi="宋体" w:eastAsia="宋体" w:cs="宋体"/>
          <w:sz w:val="24"/>
          <w:szCs w:val="24"/>
        </w:rPr>
        <w:t>Gzmz</w:t>
      </w:r>
      <w:r>
        <w:rPr>
          <w:rFonts w:hint="eastAsia" w:ascii="宋体" w:hAnsi="宋体" w:cs="宋体"/>
          <w:sz w:val="24"/>
          <w:szCs w:val="24"/>
          <w:lang w:val="en-US" w:eastAsia="zh-CN"/>
        </w:rPr>
        <w:t>+</w:t>
      </w:r>
      <w:r>
        <w:rPr>
          <w:rFonts w:hint="eastAsia" w:ascii="宋体" w:hAnsi="宋体" w:eastAsia="宋体" w:cs="宋体"/>
          <w:sz w:val="24"/>
          <w:szCs w:val="24"/>
        </w:rPr>
        <w:t>学工号</w:t>
      </w:r>
      <w:r>
        <w:rPr>
          <w:rFonts w:hint="eastAsia" w:ascii="宋体" w:hAnsi="宋体" w:cs="宋体"/>
          <w:sz w:val="24"/>
          <w:szCs w:val="24"/>
          <w:lang w:val="en-US" w:eastAsia="zh-CN"/>
        </w:rPr>
        <w:t>作为密码登录系统</w:t>
      </w:r>
      <w:r>
        <w:rPr>
          <w:rFonts w:hint="eastAsia"/>
        </w:rPr>
        <w:t>。</w:t>
      </w:r>
    </w:p>
    <w:p w14:paraId="66A8ACE7">
      <w:pPr>
        <w:pStyle w:val="2"/>
        <w:spacing w:after="0"/>
        <w:ind w:left="0" w:leftChars="0" w:firstLine="0" w:firstLineChars="0"/>
        <w:jc w:val="center"/>
        <w:rPr>
          <w:rFonts w:hint="default" w:eastAsia="宋体"/>
          <w:lang w:val="en-US" w:eastAsia="zh-CN"/>
        </w:rPr>
      </w:pPr>
      <w:r>
        <w:drawing>
          <wp:inline distT="0" distB="0" distL="114300" distR="114300">
            <wp:extent cx="3695700" cy="3810000"/>
            <wp:effectExtent l="0" t="0" r="0" b="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17"/>
                    <a:stretch>
                      <a:fillRect/>
                    </a:stretch>
                  </pic:blipFill>
                  <pic:spPr>
                    <a:xfrm>
                      <a:off x="0" y="0"/>
                      <a:ext cx="3695700" cy="3810000"/>
                    </a:xfrm>
                    <a:prstGeom prst="rect">
                      <a:avLst/>
                    </a:prstGeom>
                    <a:noFill/>
                    <a:ln>
                      <a:noFill/>
                    </a:ln>
                  </pic:spPr>
                </pic:pic>
              </a:graphicData>
            </a:graphic>
          </wp:inline>
        </w:drawing>
      </w:r>
    </w:p>
    <w:p w14:paraId="0F0D1786">
      <w:pPr>
        <w:pStyle w:val="2"/>
        <w:spacing w:after="0"/>
        <w:ind w:left="0" w:leftChars="0" w:firstLine="480"/>
      </w:pPr>
      <w:r>
        <w:rPr>
          <w:rFonts w:hint="eastAsia"/>
        </w:rPr>
        <w:t>登录后，跳出“选择角色”对话框，单击对话框中“</w:t>
      </w:r>
      <w:r>
        <w:rPr>
          <w:rFonts w:hint="eastAsia"/>
          <w:lang w:val="en-US" w:eastAsia="zh-CN"/>
        </w:rPr>
        <w:t>学生</w:t>
      </w:r>
      <w:r>
        <w:rPr>
          <w:rFonts w:hint="eastAsia"/>
        </w:rPr>
        <w:t>”</w:t>
      </w:r>
      <w:r>
        <w:rPr>
          <w:rFonts w:hint="eastAsia"/>
          <w:lang w:val="en-US" w:eastAsia="zh-CN"/>
        </w:rPr>
        <w:t>或“教师”</w:t>
      </w:r>
      <w:r>
        <w:rPr>
          <w:rFonts w:hint="eastAsia"/>
        </w:rPr>
        <w:t>角色右侧的“选择”按钮，进入</w:t>
      </w:r>
      <w:r>
        <w:rPr>
          <w:rFonts w:hint="eastAsia"/>
          <w:lang w:val="en-US" w:eastAsia="zh-CN"/>
        </w:rPr>
        <w:t>基础信息</w:t>
      </w:r>
      <w:r>
        <w:rPr>
          <w:rFonts w:hint="eastAsia"/>
          <w:lang w:eastAsia="zh-CN"/>
        </w:rPr>
        <w:t>系统</w:t>
      </w:r>
      <w:r>
        <w:rPr>
          <w:rFonts w:hint="eastAsia"/>
        </w:rPr>
        <w:t>。</w:t>
      </w:r>
    </w:p>
    <w:p w14:paraId="468B21B5">
      <w:pPr>
        <w:pStyle w:val="2"/>
        <w:snapToGrid w:val="0"/>
        <w:spacing w:after="0" w:line="0" w:lineRule="atLeast"/>
        <w:ind w:left="0" w:leftChars="0" w:firstLine="0" w:firstLineChars="0"/>
        <w:jc w:val="center"/>
      </w:pPr>
      <w:r>
        <w:drawing>
          <wp:inline distT="0" distB="0" distL="114300" distR="114300">
            <wp:extent cx="4208145" cy="1930400"/>
            <wp:effectExtent l="0" t="0" r="1905" b="1270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8"/>
                    <a:stretch>
                      <a:fillRect/>
                    </a:stretch>
                  </pic:blipFill>
                  <pic:spPr>
                    <a:xfrm>
                      <a:off x="0" y="0"/>
                      <a:ext cx="4208145" cy="1930400"/>
                    </a:xfrm>
                    <a:prstGeom prst="rect">
                      <a:avLst/>
                    </a:prstGeom>
                    <a:noFill/>
                    <a:ln>
                      <a:noFill/>
                    </a:ln>
                  </pic:spPr>
                </pic:pic>
              </a:graphicData>
            </a:graphic>
          </wp:inline>
        </w:drawing>
      </w:r>
    </w:p>
    <w:p w14:paraId="1FBD3532">
      <w:pPr>
        <w:rPr>
          <w:rFonts w:hint="default" w:ascii="Times New Roman" w:hAnsi="Times New Roman"/>
          <w:lang w:val="en-US" w:eastAsia="zh-CN"/>
        </w:rPr>
      </w:pPr>
      <w:r>
        <w:rPr>
          <w:rFonts w:hint="eastAsia" w:ascii="Times New Roman" w:hAnsi="Times New Roman"/>
          <w:lang w:val="en-US" w:eastAsia="zh-CN"/>
        </w:rPr>
        <w:t>点击右上角角色可以修改个人信息，可以重设密码。</w:t>
      </w:r>
    </w:p>
    <w:p w14:paraId="5BA9E653">
      <w:pPr>
        <w:pStyle w:val="2"/>
        <w:snapToGrid w:val="0"/>
        <w:spacing w:after="0" w:line="0" w:lineRule="atLeast"/>
        <w:ind w:left="0" w:leftChars="0" w:firstLine="0" w:firstLineChars="0"/>
        <w:jc w:val="center"/>
      </w:pPr>
      <w:r>
        <w:drawing>
          <wp:inline distT="0" distB="0" distL="114300" distR="114300">
            <wp:extent cx="5273040" cy="992505"/>
            <wp:effectExtent l="0" t="0" r="3810" b="1714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9"/>
                    <a:stretch>
                      <a:fillRect/>
                    </a:stretch>
                  </pic:blipFill>
                  <pic:spPr>
                    <a:xfrm>
                      <a:off x="0" y="0"/>
                      <a:ext cx="5273040" cy="992505"/>
                    </a:xfrm>
                    <a:prstGeom prst="rect">
                      <a:avLst/>
                    </a:prstGeom>
                    <a:noFill/>
                    <a:ln>
                      <a:noFill/>
                    </a:ln>
                  </pic:spPr>
                </pic:pic>
              </a:graphicData>
            </a:graphic>
          </wp:inline>
        </w:drawing>
      </w:r>
    </w:p>
    <w:p w14:paraId="58DDA83C">
      <w:pPr>
        <w:pStyle w:val="2"/>
        <w:spacing w:after="0"/>
        <w:ind w:left="0" w:leftChars="0" w:firstLine="480"/>
        <w:rPr>
          <w:rFonts w:hint="eastAsia"/>
          <w:lang w:val="en-US" w:eastAsia="zh-CN"/>
        </w:rPr>
      </w:pPr>
      <w:r>
        <w:rPr>
          <w:rFonts w:hint="eastAsia"/>
          <w:lang w:val="en-US" w:eastAsia="zh-CN"/>
        </w:rPr>
        <w:t>点击左侧“育”进入实验室安全考试系统。</w:t>
      </w:r>
    </w:p>
    <w:p w14:paraId="2ABFB541">
      <w:pPr>
        <w:pStyle w:val="2"/>
        <w:snapToGrid w:val="0"/>
        <w:spacing w:after="0" w:line="0" w:lineRule="atLeast"/>
        <w:ind w:left="0" w:leftChars="0" w:firstLine="0" w:firstLineChars="0"/>
        <w:jc w:val="center"/>
      </w:pPr>
      <w:r>
        <w:drawing>
          <wp:inline distT="0" distB="0" distL="114300" distR="114300">
            <wp:extent cx="1661160" cy="2124710"/>
            <wp:effectExtent l="0" t="0" r="15240" b="889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20"/>
                    <a:stretch>
                      <a:fillRect/>
                    </a:stretch>
                  </pic:blipFill>
                  <pic:spPr>
                    <a:xfrm>
                      <a:off x="0" y="0"/>
                      <a:ext cx="1661160" cy="2124710"/>
                    </a:xfrm>
                    <a:prstGeom prst="rect">
                      <a:avLst/>
                    </a:prstGeom>
                    <a:noFill/>
                    <a:ln>
                      <a:noFill/>
                    </a:ln>
                  </pic:spPr>
                </pic:pic>
              </a:graphicData>
            </a:graphic>
          </wp:inline>
        </w:drawing>
      </w:r>
    </w:p>
    <w:p w14:paraId="6E6918F1">
      <w:pPr>
        <w:pStyle w:val="2"/>
        <w:spacing w:after="0" w:line="0" w:lineRule="atLeast"/>
        <w:ind w:left="0" w:leftChars="0" w:firstLine="0" w:firstLineChars="0"/>
        <w:jc w:val="center"/>
      </w:pPr>
      <w:r>
        <w:drawing>
          <wp:inline distT="0" distB="0" distL="114300" distR="114300">
            <wp:extent cx="4865370" cy="2407920"/>
            <wp:effectExtent l="0" t="0" r="11430" b="1143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21"/>
                    <a:stretch>
                      <a:fillRect/>
                    </a:stretch>
                  </pic:blipFill>
                  <pic:spPr>
                    <a:xfrm>
                      <a:off x="0" y="0"/>
                      <a:ext cx="4865370" cy="2407920"/>
                    </a:xfrm>
                    <a:prstGeom prst="rect">
                      <a:avLst/>
                    </a:prstGeom>
                    <a:noFill/>
                    <a:ln>
                      <a:noFill/>
                    </a:ln>
                  </pic:spPr>
                </pic:pic>
              </a:graphicData>
            </a:graphic>
          </wp:inline>
        </w:drawing>
      </w:r>
    </w:p>
    <w:p w14:paraId="5FD0D2F3">
      <w:pPr>
        <w:pStyle w:val="4"/>
      </w:pPr>
      <w:bookmarkStart w:id="3" w:name="_Toc27405"/>
      <w:r>
        <w:rPr>
          <w:rFonts w:hint="eastAsia"/>
        </w:rPr>
        <w:t>个人中心</w:t>
      </w:r>
      <w:bookmarkEnd w:id="3"/>
    </w:p>
    <w:p w14:paraId="6B639F5E">
      <w:pPr>
        <w:ind w:firstLine="480"/>
      </w:pPr>
      <w:r>
        <w:rPr>
          <w:rFonts w:hint="eastAsia"/>
        </w:rPr>
        <w:t>鼠标移到顶部导航栏最右侧的登录人姓名处，在展开的菜单中点击“个人中心”，即可进入个人中心页面查看到个人的</w:t>
      </w:r>
      <w:r>
        <w:rPr>
          <w:rFonts w:hint="eastAsia"/>
          <w:lang w:val="en-US" w:eastAsia="zh-CN"/>
        </w:rPr>
        <w:t>考试</w:t>
      </w:r>
      <w:r>
        <w:rPr>
          <w:rFonts w:hint="eastAsia"/>
        </w:rPr>
        <w:t>与收藏夹。也可直接点击导航栏中的“个人中心”进行查看。</w:t>
      </w:r>
    </w:p>
    <w:p w14:paraId="7404EF07">
      <w:pPr>
        <w:pStyle w:val="2"/>
        <w:ind w:left="0" w:leftChars="0" w:firstLine="0" w:firstLineChars="0"/>
      </w:pPr>
      <w:r>
        <w:drawing>
          <wp:inline distT="0" distB="0" distL="114300" distR="114300">
            <wp:extent cx="5264785" cy="2883535"/>
            <wp:effectExtent l="0" t="0" r="12065" b="1206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22"/>
                    <a:stretch>
                      <a:fillRect/>
                    </a:stretch>
                  </pic:blipFill>
                  <pic:spPr>
                    <a:xfrm>
                      <a:off x="0" y="0"/>
                      <a:ext cx="5264785" cy="2883535"/>
                    </a:xfrm>
                    <a:prstGeom prst="rect">
                      <a:avLst/>
                    </a:prstGeom>
                    <a:noFill/>
                    <a:ln>
                      <a:noFill/>
                    </a:ln>
                  </pic:spPr>
                </pic:pic>
              </a:graphicData>
            </a:graphic>
          </wp:inline>
        </w:drawing>
      </w:r>
    </w:p>
    <w:p w14:paraId="24EB0855">
      <w:pPr>
        <w:pStyle w:val="5"/>
      </w:pPr>
      <w:bookmarkStart w:id="4" w:name="_Toc22909"/>
      <w:bookmarkStart w:id="5" w:name="_Toc103790487"/>
      <w:r>
        <w:rPr>
          <w:rFonts w:hint="eastAsia"/>
        </w:rPr>
        <w:t>常规考试</w:t>
      </w:r>
      <w:bookmarkEnd w:id="4"/>
      <w:bookmarkEnd w:id="5"/>
    </w:p>
    <w:p w14:paraId="78207288">
      <w:pPr>
        <w:pStyle w:val="6"/>
        <w:spacing w:before="163"/>
      </w:pPr>
      <w:bookmarkStart w:id="6" w:name="_Toc103790488"/>
      <w:bookmarkStart w:id="7" w:name="_Toc27090"/>
      <w:r>
        <w:rPr>
          <w:rFonts w:hint="eastAsia"/>
        </w:rPr>
        <w:t>我的考试</w:t>
      </w:r>
      <w:bookmarkEnd w:id="6"/>
      <w:bookmarkEnd w:id="7"/>
    </w:p>
    <w:p w14:paraId="7F200641">
      <w:pPr>
        <w:ind w:firstLine="480"/>
      </w:pPr>
      <w:r>
        <w:rPr>
          <w:rFonts w:hint="eastAsia"/>
        </w:rPr>
        <w:t>可查看我的常规考试列表。列表中展示了考试名称、完成时间、学习进度（未开始、学习中、已完成）、考核状态（未考核、未通过和已通过）等信息。</w:t>
      </w:r>
    </w:p>
    <w:p w14:paraId="66184013">
      <w:pPr>
        <w:ind w:firstLine="0" w:firstLineChars="0"/>
        <w:jc w:val="center"/>
      </w:pPr>
      <w:r>
        <w:drawing>
          <wp:inline distT="0" distB="0" distL="114300" distR="114300">
            <wp:extent cx="4899660" cy="2816225"/>
            <wp:effectExtent l="0" t="0" r="15240" b="31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4899660" cy="2816225"/>
                    </a:xfrm>
                    <a:prstGeom prst="rect">
                      <a:avLst/>
                    </a:prstGeom>
                    <a:noFill/>
                    <a:ln>
                      <a:noFill/>
                    </a:ln>
                  </pic:spPr>
                </pic:pic>
              </a:graphicData>
            </a:graphic>
          </wp:inline>
        </w:drawing>
      </w:r>
    </w:p>
    <w:p w14:paraId="73C37186">
      <w:pPr>
        <w:pStyle w:val="2"/>
        <w:snapToGrid w:val="0"/>
        <w:spacing w:after="0" w:line="240" w:lineRule="auto"/>
        <w:ind w:left="0" w:leftChars="0" w:firstLine="0" w:firstLineChars="0"/>
      </w:pPr>
    </w:p>
    <w:p w14:paraId="71F07E92">
      <w:pPr>
        <w:pStyle w:val="7"/>
      </w:pPr>
      <w:r>
        <w:rPr>
          <w:rFonts w:hint="eastAsia"/>
        </w:rPr>
        <w:t>去考试</w:t>
      </w:r>
    </w:p>
    <w:p w14:paraId="2C6D0EAB">
      <w:pPr>
        <w:pStyle w:val="2"/>
        <w:spacing w:after="0"/>
        <w:ind w:left="0" w:leftChars="0" w:firstLine="480"/>
      </w:pPr>
      <w:r>
        <w:rPr>
          <w:rFonts w:hint="eastAsia"/>
        </w:rPr>
        <w:t>在考试列表页面，选任一完成学习的考试，点击右侧“去考试”；或者在学习内容页面，点击页面上方的“去考试”，那么将弹出本场考试的相关信息。</w:t>
      </w:r>
    </w:p>
    <w:p w14:paraId="5C55475A">
      <w:pPr>
        <w:pStyle w:val="2"/>
        <w:spacing w:after="0"/>
        <w:ind w:left="0" w:leftChars="0" w:firstLine="480"/>
      </w:pPr>
      <w:r>
        <w:rPr>
          <w:rFonts w:hint="eastAsia"/>
        </w:rPr>
        <w:t>点击弹窗中的“开始考试”按钮，若学习时长未满足要求，将会弹窗提示“您尚未达到最低学习要求，请完成学习后重试”。此时就需要按照学习内容的要求继续学习，达到指定的学习时长方可参加考试。</w:t>
      </w:r>
    </w:p>
    <w:p w14:paraId="6F92B1FD">
      <w:pPr>
        <w:pStyle w:val="2"/>
        <w:snapToGrid w:val="0"/>
        <w:spacing w:after="0" w:line="240" w:lineRule="auto"/>
        <w:ind w:left="0" w:leftChars="0" w:firstLine="0" w:firstLineChars="0"/>
      </w:pPr>
    </w:p>
    <w:p w14:paraId="3D95AF9F">
      <w:pPr>
        <w:pStyle w:val="2"/>
        <w:snapToGrid w:val="0"/>
        <w:spacing w:after="0" w:line="240" w:lineRule="auto"/>
        <w:ind w:left="0" w:leftChars="0" w:firstLine="0" w:firstLineChars="0"/>
      </w:pPr>
      <w:r>
        <mc:AlternateContent>
          <mc:Choice Requires="wps">
            <w:drawing>
              <wp:anchor distT="0" distB="0" distL="114300" distR="114300" simplePos="0" relativeHeight="251660288" behindDoc="0" locked="0" layoutInCell="1" allowOverlap="1">
                <wp:simplePos x="0" y="0"/>
                <wp:positionH relativeFrom="column">
                  <wp:posOffset>2627630</wp:posOffset>
                </wp:positionH>
                <wp:positionV relativeFrom="paragraph">
                  <wp:posOffset>1245235</wp:posOffset>
                </wp:positionV>
                <wp:extent cx="9525" cy="419100"/>
                <wp:effectExtent l="79375" t="635" r="82550" b="18415"/>
                <wp:wrapNone/>
                <wp:docPr id="83" name="直接箭头连接符 83"/>
                <wp:cNvGraphicFramePr/>
                <a:graphic xmlns:a="http://schemas.openxmlformats.org/drawingml/2006/main">
                  <a:graphicData uri="http://schemas.microsoft.com/office/word/2010/wordprocessingShape">
                    <wps:wsp>
                      <wps:cNvCnPr/>
                      <wps:spPr>
                        <a:xfrm>
                          <a:off x="0" y="0"/>
                          <a:ext cx="9525" cy="4191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6.9pt;margin-top:98.05pt;height:33pt;width:0.75pt;z-index:251660288;mso-width-relative:page;mso-height-relative:page;" filled="f" stroked="t" coordsize="21600,21600" o:gfxdata="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bint7aAAAACwEAAA8AAAAAAAAAAQAgAAAA&#10;IgAAAGRycy9kb3ducmV2LnhtbFBLAQIUABQAAAAIAIdO4kDayKcoCQIAAOMDAAAOAAAAAAAAAAEA&#10;IAAAACkBAABkcnMvZTJvRG9jLnhtbFBLBQYAAAAABgAGAFkBAACkBQAAAAA=&#10;">
                <v:fill on="f" focussize="0,0"/>
                <v:stroke weight="3pt" color="#FF0000 [3204]" miterlimit="8" joinstyle="miter" endarrow="open"/>
                <v:imagedata o:title=""/>
                <o:lock v:ext="edit" aspectratio="f"/>
              </v:shape>
            </w:pict>
          </mc:Fallback>
        </mc:AlternateContent>
      </w:r>
      <w:r>
        <w:drawing>
          <wp:inline distT="0" distB="0" distL="114300" distR="114300">
            <wp:extent cx="5270500" cy="1398905"/>
            <wp:effectExtent l="0" t="0" r="6350" b="10795"/>
            <wp:docPr id="7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6"/>
                    <pic:cNvPicPr>
                      <a:picLocks noChangeAspect="1"/>
                    </pic:cNvPicPr>
                  </pic:nvPicPr>
                  <pic:blipFill>
                    <a:blip r:embed="rId24"/>
                    <a:stretch>
                      <a:fillRect/>
                    </a:stretch>
                  </pic:blipFill>
                  <pic:spPr>
                    <a:xfrm>
                      <a:off x="0" y="0"/>
                      <a:ext cx="5270500" cy="1398905"/>
                    </a:xfrm>
                    <a:prstGeom prst="rect">
                      <a:avLst/>
                    </a:prstGeom>
                    <a:noFill/>
                    <a:ln>
                      <a:noFill/>
                    </a:ln>
                  </pic:spPr>
                </pic:pic>
              </a:graphicData>
            </a:graphic>
          </wp:inline>
        </w:drawing>
      </w:r>
    </w:p>
    <w:p w14:paraId="73A150CD">
      <w:pPr>
        <w:pStyle w:val="2"/>
        <w:snapToGrid w:val="0"/>
        <w:spacing w:after="0" w:line="240" w:lineRule="auto"/>
        <w:ind w:left="0" w:leftChars="0" w:firstLine="0" w:firstLineChars="0"/>
      </w:pPr>
      <w:r>
        <w:drawing>
          <wp:inline distT="0" distB="0" distL="114300" distR="114300">
            <wp:extent cx="5268595" cy="1225550"/>
            <wp:effectExtent l="0" t="0" r="8255" b="12700"/>
            <wp:docPr id="7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9"/>
                    <pic:cNvPicPr>
                      <a:picLocks noChangeAspect="1"/>
                    </pic:cNvPicPr>
                  </pic:nvPicPr>
                  <pic:blipFill>
                    <a:blip r:embed="rId25"/>
                    <a:stretch>
                      <a:fillRect/>
                    </a:stretch>
                  </pic:blipFill>
                  <pic:spPr>
                    <a:xfrm>
                      <a:off x="0" y="0"/>
                      <a:ext cx="5268595" cy="1225550"/>
                    </a:xfrm>
                    <a:prstGeom prst="rect">
                      <a:avLst/>
                    </a:prstGeom>
                    <a:noFill/>
                    <a:ln>
                      <a:noFill/>
                    </a:ln>
                  </pic:spPr>
                </pic:pic>
              </a:graphicData>
            </a:graphic>
          </wp:inline>
        </w:drawing>
      </w:r>
    </w:p>
    <w:p w14:paraId="5B02FCAA">
      <w:pPr>
        <w:pStyle w:val="2"/>
        <w:spacing w:after="0"/>
        <w:ind w:left="0" w:leftChars="0" w:firstLine="480"/>
      </w:pPr>
      <w:r>
        <w:rPr>
          <w:rFonts w:hint="eastAsia"/>
        </w:rPr>
        <w:t>当学习时长满足要求后，再次去考试，根据需要进行考前承诺，</w:t>
      </w:r>
      <w:bookmarkStart w:id="8" w:name="OLE_LINK12"/>
      <w:r>
        <w:rPr>
          <w:rFonts w:hint="eastAsia"/>
        </w:rPr>
        <w:t>考前承诺有两种形式：</w:t>
      </w:r>
    </w:p>
    <w:p w14:paraId="22E5F9C4">
      <w:pPr>
        <w:pStyle w:val="2"/>
        <w:spacing w:after="0"/>
        <w:ind w:left="0" w:leftChars="0" w:firstLine="480"/>
      </w:pPr>
      <w:r>
        <w:rPr>
          <w:rFonts w:hint="eastAsia"/>
        </w:rPr>
        <w:t>1）勾选模式，勾选‘我承诺复选框’并确定。</w:t>
      </w:r>
    </w:p>
    <w:p w14:paraId="41091E4E">
      <w:pPr>
        <w:pStyle w:val="2"/>
        <w:spacing w:after="0"/>
        <w:ind w:left="0" w:leftChars="0" w:firstLine="0" w:firstLineChars="0"/>
      </w:pPr>
      <w:r>
        <w:drawing>
          <wp:inline distT="0" distB="0" distL="0" distR="0">
            <wp:extent cx="5274310" cy="2558415"/>
            <wp:effectExtent l="19050" t="19050" r="21590" b="1333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26"/>
                    <a:srcRect b="10328"/>
                    <a:stretch>
                      <a:fillRect/>
                    </a:stretch>
                  </pic:blipFill>
                  <pic:spPr>
                    <a:xfrm>
                      <a:off x="0" y="0"/>
                      <a:ext cx="5274310" cy="2558955"/>
                    </a:xfrm>
                    <a:prstGeom prst="rect">
                      <a:avLst/>
                    </a:prstGeom>
                    <a:ln w="9525" cap="flat" cmpd="sng" algn="ctr">
                      <a:solidFill>
                        <a:srgbClr val="5B9BD5"/>
                      </a:solidFill>
                      <a:prstDash val="solid"/>
                      <a:round/>
                      <a:headEnd type="none" w="med" len="med"/>
                      <a:tailEnd type="none" w="med" len="med"/>
                    </a:ln>
                  </pic:spPr>
                </pic:pic>
              </a:graphicData>
            </a:graphic>
          </wp:inline>
        </w:drawing>
      </w:r>
    </w:p>
    <w:p w14:paraId="209B902C">
      <w:pPr>
        <w:pStyle w:val="2"/>
        <w:spacing w:after="0"/>
        <w:ind w:left="0" w:leftChars="0" w:firstLineChars="0"/>
        <w:jc w:val="left"/>
      </w:pPr>
      <w:r>
        <w:rPr>
          <w:rFonts w:hint="eastAsia"/>
        </w:rPr>
        <w:t>2）手签模式，阅读安全承诺书内容，通过手机端扫描二维码，在手机端进行签名并提交。签名提交成功后，签名信息会显示在承诺书中，在进入考试前可多次进行签名。</w:t>
      </w:r>
    </w:p>
    <w:p w14:paraId="0BA4C5BD">
      <w:pPr>
        <w:pStyle w:val="2"/>
        <w:spacing w:after="0"/>
        <w:ind w:left="0" w:leftChars="0" w:firstLine="0" w:firstLineChars="0"/>
        <w:jc w:val="center"/>
      </w:pPr>
      <w:r>
        <mc:AlternateContent>
          <mc:Choice Requires="wps">
            <w:drawing>
              <wp:anchor distT="0" distB="0" distL="114300" distR="114300" simplePos="0" relativeHeight="251663360" behindDoc="0" locked="0" layoutInCell="1" allowOverlap="1">
                <wp:simplePos x="0" y="0"/>
                <wp:positionH relativeFrom="column">
                  <wp:posOffset>1384935</wp:posOffset>
                </wp:positionH>
                <wp:positionV relativeFrom="paragraph">
                  <wp:posOffset>1681480</wp:posOffset>
                </wp:positionV>
                <wp:extent cx="561975" cy="0"/>
                <wp:effectExtent l="0" t="85725" r="9525" b="85725"/>
                <wp:wrapNone/>
                <wp:docPr id="136" name="直接箭头连接符 136"/>
                <wp:cNvGraphicFramePr/>
                <a:graphic xmlns:a="http://schemas.openxmlformats.org/drawingml/2006/main">
                  <a:graphicData uri="http://schemas.microsoft.com/office/word/2010/wordprocessingShape">
                    <wps:wsp>
                      <wps:cNvCnPr/>
                      <wps:spPr>
                        <a:xfrm>
                          <a:off x="0" y="0"/>
                          <a:ext cx="561975"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9.05pt;margin-top:132.4pt;height:0pt;width:44.25pt;z-index:251663360;mso-width-relative:page;mso-height-relative:page;" filled="f" stroked="t" coordsize="21600,21600" o:gfxdata="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JmCKEvYAAAACwEAAA8AAAAAAAAAAQAgAAAAIgAA&#10;AGRycy9kb3ducmV2LnhtbFBLAQIUABQAAAAIAIdO4kCmR/wpCAIAAOIDAAAOAAAAAAAAAAEAIAAA&#10;ACcBAABkcnMvZTJvRG9jLnhtbFBLBQYAAAAABgAGAFkBAAChBQAAAAA=&#10;">
                <v:fill on="f" focussize="0,0"/>
                <v:stroke weight="3pt" color="#FF0000 [3204]" miterlimit="8" joinstyle="miter" endarrow="open"/>
                <v:imagedata o:title=""/>
                <o:lock v:ext="edit" aspectratio="f"/>
              </v:shape>
            </w:pict>
          </mc:Fallback>
        </mc:AlternateContent>
      </w:r>
      <w:r>
        <w:drawing>
          <wp:inline distT="0" distB="0" distL="0" distR="0">
            <wp:extent cx="1337310" cy="2897505"/>
            <wp:effectExtent l="19050" t="19050" r="15240" b="17145"/>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27"/>
                    <a:stretch>
                      <a:fillRect/>
                    </a:stretch>
                  </pic:blipFill>
                  <pic:spPr>
                    <a:xfrm>
                      <a:off x="0" y="0"/>
                      <a:ext cx="1348355" cy="2921505"/>
                    </a:xfrm>
                    <a:prstGeom prst="rect">
                      <a:avLst/>
                    </a:prstGeom>
                    <a:ln>
                      <a:solidFill>
                        <a:schemeClr val="accent1"/>
                      </a:solidFill>
                    </a:ln>
                  </pic:spPr>
                </pic:pic>
              </a:graphicData>
            </a:graphic>
          </wp:inline>
        </w:drawing>
      </w:r>
      <w:r>
        <w:t xml:space="preserve"> </w:t>
      </w:r>
      <w:r>
        <w:drawing>
          <wp:inline distT="0" distB="0" distL="0" distR="0">
            <wp:extent cx="3444240" cy="2883535"/>
            <wp:effectExtent l="19050" t="19050" r="22860" b="1206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28"/>
                    <a:srcRect l="6657"/>
                    <a:stretch>
                      <a:fillRect/>
                    </a:stretch>
                  </pic:blipFill>
                  <pic:spPr>
                    <a:xfrm>
                      <a:off x="0" y="0"/>
                      <a:ext cx="3453844" cy="2892076"/>
                    </a:xfrm>
                    <a:prstGeom prst="rect">
                      <a:avLst/>
                    </a:prstGeom>
                    <a:ln>
                      <a:solidFill>
                        <a:schemeClr val="accent1"/>
                      </a:solidFill>
                    </a:ln>
                  </pic:spPr>
                </pic:pic>
              </a:graphicData>
            </a:graphic>
          </wp:inline>
        </w:drawing>
      </w:r>
    </w:p>
    <w:p w14:paraId="3E070B01">
      <w:pPr>
        <w:pStyle w:val="2"/>
        <w:snapToGrid w:val="0"/>
        <w:spacing w:after="0"/>
        <w:ind w:left="0" w:leftChars="0" w:firstLine="480"/>
      </w:pPr>
      <w:r>
        <w:rPr>
          <w:rFonts w:hint="eastAsia"/>
        </w:rPr>
        <w:t>完成考前承诺后，点击下方的“开始考试”，即可进入考试页面开始考核。</w:t>
      </w:r>
    </w:p>
    <w:bookmarkEnd w:id="8"/>
    <w:p w14:paraId="372AB924">
      <w:pPr>
        <w:pStyle w:val="2"/>
        <w:snapToGrid w:val="0"/>
        <w:spacing w:after="0"/>
        <w:ind w:left="0" w:leftChars="0" w:firstLine="480"/>
      </w:pPr>
      <w:r>
        <w:rPr>
          <w:rFonts w:hint="eastAsia"/>
        </w:rPr>
        <w:t>考试页面底部，隐藏了考试答题卡，可以点击“</w:t>
      </w:r>
      <w:r>
        <w:drawing>
          <wp:inline distT="0" distB="0" distL="114300" distR="114300">
            <wp:extent cx="470535" cy="153670"/>
            <wp:effectExtent l="0" t="0" r="5715" b="0"/>
            <wp:docPr id="7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2"/>
                    <pic:cNvPicPr>
                      <a:picLocks noChangeAspect="1"/>
                    </pic:cNvPicPr>
                  </pic:nvPicPr>
                  <pic:blipFill>
                    <a:blip r:embed="rId29"/>
                    <a:stretch>
                      <a:fillRect/>
                    </a:stretch>
                  </pic:blipFill>
                  <pic:spPr>
                    <a:xfrm>
                      <a:off x="0" y="0"/>
                      <a:ext cx="475927" cy="155592"/>
                    </a:xfrm>
                    <a:prstGeom prst="rect">
                      <a:avLst/>
                    </a:prstGeom>
                    <a:noFill/>
                    <a:ln>
                      <a:noFill/>
                    </a:ln>
                  </pic:spPr>
                </pic:pic>
              </a:graphicData>
            </a:graphic>
          </wp:inline>
        </w:drawing>
      </w:r>
      <w:r>
        <w:rPr>
          <w:rFonts w:hint="eastAsia"/>
        </w:rPr>
        <w:t>”展开查看；点击题号如“</w:t>
      </w:r>
      <w:r>
        <w:t>7</w:t>
      </w:r>
      <w:r>
        <w:rPr>
          <w:rFonts w:hint="eastAsia"/>
        </w:rPr>
        <w:t>”可跳到该题目进行作答。</w:t>
      </w:r>
    </w:p>
    <w:p w14:paraId="7635736D">
      <w:pPr>
        <w:pStyle w:val="2"/>
        <w:snapToGrid w:val="0"/>
        <w:spacing w:after="0"/>
        <w:ind w:left="0" w:leftChars="0" w:firstLine="480"/>
      </w:pPr>
      <w:r>
        <w:rPr>
          <w:rFonts w:hint="eastAsia"/>
        </w:rPr>
        <w:t>页面右侧，有考试时间的倒计时以及对试卷的操作；点击“</w:t>
      </w:r>
      <w:r>
        <w:drawing>
          <wp:inline distT="0" distB="0" distL="114300" distR="114300">
            <wp:extent cx="104775" cy="95250"/>
            <wp:effectExtent l="0" t="0" r="9525" b="0"/>
            <wp:docPr id="8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5"/>
                    <pic:cNvPicPr>
                      <a:picLocks noChangeAspect="1"/>
                    </pic:cNvPicPr>
                  </pic:nvPicPr>
                  <pic:blipFill>
                    <a:blip r:embed="rId30"/>
                    <a:stretch>
                      <a:fillRect/>
                    </a:stretch>
                  </pic:blipFill>
                  <pic:spPr>
                    <a:xfrm>
                      <a:off x="0" y="0"/>
                      <a:ext cx="104775" cy="95250"/>
                    </a:xfrm>
                    <a:prstGeom prst="rect">
                      <a:avLst/>
                    </a:prstGeom>
                    <a:noFill/>
                    <a:ln>
                      <a:noFill/>
                    </a:ln>
                  </pic:spPr>
                </pic:pic>
              </a:graphicData>
            </a:graphic>
          </wp:inline>
        </w:drawing>
      </w:r>
      <w:r>
        <w:rPr>
          <w:rFonts w:hint="eastAsia"/>
        </w:rPr>
        <w:t>”可以返回顶部，分页模式下点击“上一页”或“下一页”可跳到对应的页码进行作答；</w:t>
      </w:r>
    </w:p>
    <w:p w14:paraId="499423E7">
      <w:pPr>
        <w:pStyle w:val="2"/>
        <w:snapToGrid w:val="0"/>
        <w:spacing w:after="0"/>
        <w:ind w:left="0" w:leftChars="0" w:firstLine="480"/>
      </w:pPr>
      <w:r>
        <w:rPr>
          <w:rFonts w:hint="eastAsia"/>
        </w:rPr>
        <w:t>完成考试后，点击“交卷”即可。</w:t>
      </w:r>
    </w:p>
    <w:p w14:paraId="001C3D7B">
      <w:pPr>
        <w:pStyle w:val="2"/>
        <w:snapToGrid w:val="0"/>
        <w:spacing w:after="0"/>
        <w:ind w:left="0" w:leftChars="0" w:firstLine="0" w:firstLineChars="0"/>
        <w:jc w:val="center"/>
        <w:rPr>
          <w:rFonts w:ascii="楷体" w:hAnsi="楷体" w:eastAsia="楷体"/>
        </w:rPr>
      </w:pPr>
      <w:r>
        <w:drawing>
          <wp:inline distT="0" distB="0" distL="114300" distR="114300">
            <wp:extent cx="5268595" cy="3554730"/>
            <wp:effectExtent l="19050" t="19050" r="27305" b="26670"/>
            <wp:docPr id="8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4"/>
                    <pic:cNvPicPr>
                      <a:picLocks noChangeAspect="1"/>
                    </pic:cNvPicPr>
                  </pic:nvPicPr>
                  <pic:blipFill>
                    <a:blip r:embed="rId31"/>
                    <a:srcRect t="4245" b="7724"/>
                    <a:stretch>
                      <a:fillRect/>
                    </a:stretch>
                  </pic:blipFill>
                  <pic:spPr>
                    <a:xfrm>
                      <a:off x="0" y="0"/>
                      <a:ext cx="5268595" cy="3555187"/>
                    </a:xfrm>
                    <a:prstGeom prst="rect">
                      <a:avLst/>
                    </a:prstGeom>
                    <a:noFill/>
                    <a:ln w="9525" cap="flat" cmpd="sng" algn="ctr">
                      <a:solidFill>
                        <a:srgbClr val="5B9BD5"/>
                      </a:solidFill>
                      <a:prstDash val="solid"/>
                      <a:round/>
                      <a:headEnd type="none" w="med" len="med"/>
                      <a:tailEnd type="none" w="med" len="med"/>
                    </a:ln>
                  </pic:spPr>
                </pic:pic>
              </a:graphicData>
            </a:graphic>
          </wp:inline>
        </w:drawing>
      </w:r>
      <w:r>
        <w:rPr>
          <w:rFonts w:ascii="楷体" w:hAnsi="楷体" w:eastAsia="楷体"/>
        </w:rPr>
        <w:t xml:space="preserve"> </w:t>
      </w:r>
    </w:p>
    <w:p w14:paraId="070375BF">
      <w:pPr>
        <w:pStyle w:val="6"/>
        <w:spacing w:before="163"/>
      </w:pPr>
      <w:bookmarkStart w:id="9" w:name="_Toc103790489"/>
      <w:bookmarkStart w:id="10" w:name="_Toc13142"/>
      <w:r>
        <w:rPr>
          <w:rFonts w:hint="eastAsia"/>
        </w:rPr>
        <w:t>我的成绩</w:t>
      </w:r>
      <w:bookmarkEnd w:id="9"/>
      <w:bookmarkEnd w:id="10"/>
    </w:p>
    <w:p w14:paraId="5CECEB71">
      <w:pPr>
        <w:pStyle w:val="2"/>
        <w:spacing w:after="0"/>
        <w:ind w:left="0" w:leftChars="0" w:firstLineChars="0"/>
      </w:pPr>
      <w:r>
        <w:rPr>
          <w:rFonts w:hint="eastAsia"/>
        </w:rPr>
        <w:t>在考试结束后，可以在“考试成绩”模块查看所有的考试结果，能查看具体的答题情况并打印考试承诺书。</w:t>
      </w:r>
    </w:p>
    <w:p w14:paraId="01B68BA1">
      <w:pPr>
        <w:pStyle w:val="2"/>
        <w:spacing w:after="0"/>
        <w:ind w:left="0" w:leftChars="0" w:firstLine="0" w:firstLineChars="0"/>
        <w:jc w:val="center"/>
        <w:rPr>
          <w:rFonts w:ascii="楷体" w:hAnsi="楷体" w:eastAsia="楷体"/>
          <w:b/>
        </w:rPr>
      </w:pPr>
      <w:r>
        <w:drawing>
          <wp:inline distT="0" distB="0" distL="0" distR="0">
            <wp:extent cx="5274310" cy="1647190"/>
            <wp:effectExtent l="19050" t="19050" r="21590" b="1016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32"/>
                    <a:stretch>
                      <a:fillRect/>
                    </a:stretch>
                  </pic:blipFill>
                  <pic:spPr>
                    <a:xfrm>
                      <a:off x="0" y="0"/>
                      <a:ext cx="5274310" cy="1647190"/>
                    </a:xfrm>
                    <a:prstGeom prst="rect">
                      <a:avLst/>
                    </a:prstGeom>
                    <a:ln>
                      <a:solidFill>
                        <a:schemeClr val="accent1"/>
                      </a:solidFill>
                    </a:ln>
                  </pic:spPr>
                </pic:pic>
              </a:graphicData>
            </a:graphic>
          </wp:inline>
        </w:drawing>
      </w:r>
    </w:p>
    <w:p w14:paraId="7FF721B3">
      <w:pPr>
        <w:pStyle w:val="5"/>
      </w:pPr>
      <w:bookmarkStart w:id="11" w:name="_Toc32498"/>
      <w:bookmarkStart w:id="12" w:name="_Toc103790497"/>
      <w:r>
        <w:rPr>
          <w:rFonts w:hint="eastAsia"/>
        </w:rPr>
        <w:t>收藏夹</w:t>
      </w:r>
      <w:bookmarkEnd w:id="11"/>
      <w:bookmarkEnd w:id="12"/>
    </w:p>
    <w:p w14:paraId="609D066E">
      <w:pPr>
        <w:pStyle w:val="2"/>
        <w:spacing w:after="0"/>
        <w:ind w:left="0" w:leftChars="0" w:firstLine="480"/>
      </w:pPr>
      <w:r>
        <w:rPr>
          <w:rFonts w:hint="eastAsia"/>
        </w:rPr>
        <w:t>点击“收藏夹”，可查看收藏过的安全知识内容与课程，点击标题可跳转到相应的页面进行学习。</w:t>
      </w:r>
    </w:p>
    <w:p w14:paraId="0C051A17">
      <w:pPr>
        <w:pStyle w:val="2"/>
        <w:spacing w:after="0"/>
        <w:ind w:left="0" w:leftChars="0" w:firstLine="0" w:firstLineChars="0"/>
        <w:jc w:val="center"/>
        <w:rPr>
          <w:rFonts w:ascii="楷体" w:hAnsi="楷体" w:eastAsia="楷体"/>
        </w:rPr>
      </w:pPr>
      <w:r>
        <w:drawing>
          <wp:inline distT="0" distB="0" distL="0" distR="0">
            <wp:extent cx="5274310" cy="1910080"/>
            <wp:effectExtent l="19050" t="19050" r="21590" b="1397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33"/>
                    <a:stretch>
                      <a:fillRect/>
                    </a:stretch>
                  </pic:blipFill>
                  <pic:spPr>
                    <a:xfrm>
                      <a:off x="0" y="0"/>
                      <a:ext cx="5274310" cy="1910080"/>
                    </a:xfrm>
                    <a:prstGeom prst="rect">
                      <a:avLst/>
                    </a:prstGeom>
                    <a:ln>
                      <a:solidFill>
                        <a:schemeClr val="accent1"/>
                      </a:solidFill>
                    </a:ln>
                  </pic:spPr>
                </pic:pic>
              </a:graphicData>
            </a:graphic>
          </wp:inline>
        </w:drawing>
      </w:r>
      <w:r>
        <w:rPr>
          <w:rFonts w:ascii="楷体" w:hAnsi="楷体" w:eastAsia="楷体"/>
        </w:rPr>
        <w:t xml:space="preserve"> </w:t>
      </w:r>
    </w:p>
    <w:p w14:paraId="78C89959">
      <w:pPr>
        <w:pStyle w:val="4"/>
      </w:pPr>
      <w:bookmarkStart w:id="13" w:name="_Toc7315"/>
      <w:bookmarkStart w:id="14" w:name="_Toc103790498"/>
      <w:r>
        <w:rPr>
          <w:rFonts w:hint="eastAsia"/>
        </w:rPr>
        <w:t>题库练习</w:t>
      </w:r>
      <w:bookmarkEnd w:id="13"/>
      <w:bookmarkEnd w:id="14"/>
    </w:p>
    <w:p w14:paraId="32390855">
      <w:pPr>
        <w:snapToGrid w:val="0"/>
        <w:ind w:firstLine="480"/>
      </w:pPr>
      <w:r>
        <w:rPr>
          <w:rFonts w:hint="eastAsia"/>
        </w:rPr>
        <w:t>点击顶部导航栏“题库练习”，可进行题库练习。</w:t>
      </w:r>
    </w:p>
    <w:p w14:paraId="2E2E1199">
      <w:pPr>
        <w:pStyle w:val="2"/>
        <w:snapToGrid w:val="0"/>
        <w:spacing w:after="0" w:line="240" w:lineRule="auto"/>
        <w:ind w:left="0" w:leftChars="0" w:firstLine="0" w:firstLineChars="0"/>
      </w:pPr>
      <w:r>
        <w:drawing>
          <wp:inline distT="0" distB="0" distL="0" distR="0">
            <wp:extent cx="5274310" cy="1380490"/>
            <wp:effectExtent l="19050" t="19050" r="21590" b="1016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34"/>
                    <a:stretch>
                      <a:fillRect/>
                    </a:stretch>
                  </pic:blipFill>
                  <pic:spPr>
                    <a:xfrm>
                      <a:off x="0" y="0"/>
                      <a:ext cx="5274310" cy="1380490"/>
                    </a:xfrm>
                    <a:prstGeom prst="rect">
                      <a:avLst/>
                    </a:prstGeom>
                    <a:ln>
                      <a:solidFill>
                        <a:schemeClr val="accent1"/>
                      </a:solidFill>
                    </a:ln>
                  </pic:spPr>
                </pic:pic>
              </a:graphicData>
            </a:graphic>
          </wp:inline>
        </w:drawing>
      </w:r>
    </w:p>
    <w:p w14:paraId="5BFECFC9">
      <w:pPr>
        <w:snapToGrid w:val="0"/>
        <w:ind w:firstLine="480"/>
      </w:pPr>
      <w:bookmarkStart w:id="15" w:name="OLE_LINK14"/>
      <w:bookmarkStart w:id="16" w:name="OLE_LINK13"/>
      <w:r>
        <w:rPr>
          <w:rFonts w:hint="eastAsia"/>
        </w:rPr>
        <w:t>选择任一题库，如“化学安全题库”，点击右侧的“在线练习”，</w:t>
      </w:r>
      <w:bookmarkEnd w:id="15"/>
      <w:bookmarkEnd w:id="16"/>
      <w:r>
        <w:rPr>
          <w:rFonts w:hint="eastAsia"/>
        </w:rPr>
        <w:t>可选择“继续练习”或“重新练习”。进行题库练习时，每作答一题系统将自动告知答案。</w:t>
      </w:r>
    </w:p>
    <w:p w14:paraId="489C064A">
      <w:pPr>
        <w:pStyle w:val="2"/>
        <w:spacing w:after="0"/>
        <w:ind w:left="0" w:leftChars="0" w:firstLine="0" w:firstLineChars="0"/>
        <w:jc w:val="center"/>
        <w:rPr>
          <w:rFonts w:ascii="楷体" w:hAnsi="楷体" w:eastAsia="楷体"/>
        </w:rPr>
      </w:pPr>
      <w:r>
        <w:drawing>
          <wp:inline distT="0" distB="0" distL="114300" distR="114300">
            <wp:extent cx="5274310" cy="2733675"/>
            <wp:effectExtent l="9525" t="9525" r="12065" b="19050"/>
            <wp:docPr id="8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3"/>
                    <pic:cNvPicPr>
                      <a:picLocks noChangeAspect="1"/>
                    </pic:cNvPicPr>
                  </pic:nvPicPr>
                  <pic:blipFill>
                    <a:blip r:embed="rId35"/>
                    <a:srcRect t="4333"/>
                    <a:stretch>
                      <a:fillRect/>
                    </a:stretch>
                  </pic:blipFill>
                  <pic:spPr>
                    <a:xfrm>
                      <a:off x="0" y="0"/>
                      <a:ext cx="5274310" cy="2733675"/>
                    </a:xfrm>
                    <a:prstGeom prst="rect">
                      <a:avLst/>
                    </a:prstGeom>
                    <a:noFill/>
                    <a:ln>
                      <a:solidFill>
                        <a:schemeClr val="accent1"/>
                      </a:solidFill>
                    </a:ln>
                  </pic:spPr>
                </pic:pic>
              </a:graphicData>
            </a:graphic>
          </wp:inline>
        </w:drawing>
      </w:r>
    </w:p>
    <w:p w14:paraId="24A42E8B">
      <w:pPr>
        <w:pStyle w:val="2"/>
        <w:spacing w:after="0"/>
        <w:ind w:left="0" w:leftChars="0" w:firstLine="480"/>
        <w:jc w:val="left"/>
        <w:rPr>
          <w:rFonts w:ascii="楷体" w:hAnsi="楷体" w:eastAsia="楷体"/>
        </w:rPr>
      </w:pPr>
      <w:r>
        <w:rPr>
          <w:rFonts w:hint="eastAsia"/>
        </w:rPr>
        <w:t>选择任一题库，如“化学安全题库”，点击右侧的“练习记录”，可查看该题库的历次练习记录。</w:t>
      </w:r>
      <w:r>
        <w:drawing>
          <wp:inline distT="0" distB="0" distL="0" distR="0">
            <wp:extent cx="5274310" cy="1553845"/>
            <wp:effectExtent l="19050" t="19050" r="21590" b="27305"/>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36"/>
                    <a:stretch>
                      <a:fillRect/>
                    </a:stretch>
                  </pic:blipFill>
                  <pic:spPr>
                    <a:xfrm>
                      <a:off x="0" y="0"/>
                      <a:ext cx="5274310" cy="1553845"/>
                    </a:xfrm>
                    <a:prstGeom prst="rect">
                      <a:avLst/>
                    </a:prstGeom>
                    <a:ln>
                      <a:solidFill>
                        <a:schemeClr val="accent1"/>
                      </a:solidFill>
                    </a:ln>
                  </pic:spPr>
                </pic:pic>
              </a:graphicData>
            </a:graphic>
          </wp:inline>
        </w:drawing>
      </w:r>
    </w:p>
    <w:p w14:paraId="2EF02EB3">
      <w:pPr>
        <w:pStyle w:val="2"/>
        <w:spacing w:after="0"/>
        <w:ind w:left="0" w:leftChars="0" w:firstLine="0" w:firstLineChars="0"/>
      </w:pPr>
    </w:p>
    <w:p w14:paraId="71080278">
      <w:pPr>
        <w:pStyle w:val="4"/>
      </w:pPr>
      <w:bookmarkStart w:id="17" w:name="_Toc6022"/>
      <w:r>
        <w:rPr>
          <w:rFonts w:hint="eastAsia"/>
        </w:rPr>
        <w:t>安全知识库</w:t>
      </w:r>
      <w:bookmarkEnd w:id="17"/>
    </w:p>
    <w:p w14:paraId="1863B8D5">
      <w:pPr>
        <w:pStyle w:val="2"/>
        <w:spacing w:after="0"/>
        <w:ind w:left="0" w:leftChars="0" w:firstLine="480"/>
      </w:pPr>
      <w:r>
        <w:rPr>
          <w:rFonts w:hint="eastAsia"/>
        </w:rPr>
        <w:t>点击顶部导航栏的“安全知识库”，会出现下拉菜单，即安全知识库的6大学习模块，包括安全知识、安全手册、安全标识、安全视频、M</w:t>
      </w:r>
      <w:r>
        <w:t>SDS</w:t>
      </w:r>
      <w:r>
        <w:rPr>
          <w:rFonts w:hint="eastAsia"/>
        </w:rPr>
        <w:t>、事故案例。点击不同的下拉菜单，可查看学习不同类型的安全知识。</w:t>
      </w:r>
    </w:p>
    <w:p w14:paraId="27576CD0">
      <w:pPr>
        <w:pStyle w:val="2"/>
        <w:spacing w:after="0"/>
        <w:ind w:left="0" w:leftChars="0" w:firstLine="480"/>
      </w:pPr>
      <w:r>
        <w:rPr>
          <w:rFonts w:hint="eastAsia"/>
        </w:rPr>
        <w:t>选择任一类型如“安全知识”进行点击，将在下方看到安全知识相关的学习内容，包括9个类别，左侧以列表展示，右侧展示该类别的详细内容。</w:t>
      </w:r>
    </w:p>
    <w:p w14:paraId="7C31BD60">
      <w:pPr>
        <w:pStyle w:val="2"/>
        <w:spacing w:after="0"/>
        <w:ind w:left="0" w:leftChars="0" w:firstLine="480"/>
      </w:pPr>
      <w:r>
        <w:rPr>
          <w:rFonts w:hint="eastAsia"/>
        </w:rPr>
        <w:t>点击左侧列表中的安全知识类别如“通识类安全”，右侧将展示该类别下的所有安全知识内容；选择任一安全知识内容如“必须看！实验室急救常识”进行点击，即可进入详情页，学习该安全知识内容。</w:t>
      </w:r>
    </w:p>
    <w:p w14:paraId="299590EB">
      <w:pPr>
        <w:pStyle w:val="2"/>
        <w:spacing w:after="0"/>
        <w:ind w:left="0" w:leftChars="0" w:firstLine="0" w:firstLineChars="0"/>
      </w:pPr>
      <w:r>
        <w:drawing>
          <wp:inline distT="0" distB="0" distL="114300" distR="114300">
            <wp:extent cx="5270500" cy="3349625"/>
            <wp:effectExtent l="9525" t="9525" r="15875" b="12700"/>
            <wp:docPr id="4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3"/>
                    <pic:cNvPicPr>
                      <a:picLocks noChangeAspect="1"/>
                    </pic:cNvPicPr>
                  </pic:nvPicPr>
                  <pic:blipFill>
                    <a:blip r:embed="rId37"/>
                    <a:srcRect t="8341"/>
                    <a:stretch>
                      <a:fillRect/>
                    </a:stretch>
                  </pic:blipFill>
                  <pic:spPr>
                    <a:xfrm>
                      <a:off x="0" y="0"/>
                      <a:ext cx="5270500" cy="3349625"/>
                    </a:xfrm>
                    <a:prstGeom prst="rect">
                      <a:avLst/>
                    </a:prstGeom>
                    <a:noFill/>
                    <a:ln>
                      <a:solidFill>
                        <a:schemeClr val="accent1"/>
                      </a:solidFill>
                    </a:ln>
                  </pic:spPr>
                </pic:pic>
              </a:graphicData>
            </a:graphic>
          </wp:inline>
        </w:drawing>
      </w:r>
    </w:p>
    <w:p w14:paraId="57358131">
      <w:pPr>
        <w:pStyle w:val="4"/>
      </w:pPr>
      <w:bookmarkStart w:id="18" w:name="_Toc27549"/>
      <w:r>
        <w:rPr>
          <w:rFonts w:hint="eastAsia"/>
        </w:rPr>
        <w:t>首页</w:t>
      </w:r>
      <w:bookmarkEnd w:id="18"/>
    </w:p>
    <w:p w14:paraId="7F5A8BFA">
      <w:pPr>
        <w:pStyle w:val="2"/>
        <w:ind w:left="0" w:leftChars="0" w:firstLine="480"/>
      </w:pPr>
      <w:r>
        <w:rPr>
          <w:rFonts w:hint="eastAsia"/>
        </w:rPr>
        <w:t>首页主要展示实验室安全学习中心中所有模块的部分信息。</w:t>
      </w:r>
    </w:p>
    <w:p w14:paraId="5D462809">
      <w:pPr>
        <w:pStyle w:val="5"/>
      </w:pPr>
      <w:bookmarkStart w:id="19" w:name="_Toc7990"/>
      <w:r>
        <w:rPr>
          <w:rFonts w:hint="eastAsia"/>
        </w:rPr>
        <w:t>顶部导航栏</w:t>
      </w:r>
      <w:bookmarkEnd w:id="19"/>
    </w:p>
    <w:p w14:paraId="0740E966">
      <w:pPr>
        <w:pStyle w:val="2"/>
        <w:spacing w:after="0"/>
        <w:ind w:left="0" w:leftChars="0" w:firstLine="480"/>
      </w:pPr>
      <w:r>
        <w:rPr>
          <w:rFonts w:hint="eastAsia"/>
        </w:rPr>
        <w:t>点击首页顶部导航菜单（“首页”、“通知公告”、“规章制度”、“微课堂”、“安全知识库”）可进入相应的模块进行学习；</w:t>
      </w:r>
    </w:p>
    <w:p w14:paraId="385B817A">
      <w:pPr>
        <w:pStyle w:val="2"/>
        <w:spacing w:after="0"/>
        <w:ind w:left="0" w:leftChars="0" w:firstLine="480"/>
      </w:pPr>
      <w:r>
        <w:rPr>
          <w:rFonts w:hint="eastAsia"/>
        </w:rPr>
        <w:t>在搜索框中输入关键字进行检索，将会查询到实验室安全学习中心中所有相关的学习内容；</w:t>
      </w:r>
    </w:p>
    <w:p w14:paraId="6F7AA81B">
      <w:pPr>
        <w:pStyle w:val="2"/>
        <w:spacing w:after="0"/>
        <w:ind w:left="0" w:leftChars="0" w:firstLine="480"/>
      </w:pPr>
      <w:r>
        <w:rPr>
          <w:rFonts w:hint="eastAsia"/>
        </w:rPr>
        <w:t>鼠标移到最右侧的登录人姓名处，将展开菜单，包括“个人中心”和“退出”。点击“个人中心”，将跳转到个人中心页面；点击“退出”将退出系统，并跳转回登录页。</w:t>
      </w:r>
    </w:p>
    <w:p w14:paraId="7FA9894E">
      <w:pPr>
        <w:pStyle w:val="2"/>
        <w:spacing w:after="0"/>
        <w:ind w:left="0" w:leftChars="0" w:firstLine="0" w:firstLineChars="0"/>
        <w:jc w:val="center"/>
      </w:pPr>
      <w:r>
        <w:drawing>
          <wp:inline distT="0" distB="0" distL="114300" distR="114300">
            <wp:extent cx="5269230" cy="2430780"/>
            <wp:effectExtent l="0" t="0" r="7620" b="7620"/>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38"/>
                    <a:stretch>
                      <a:fillRect/>
                    </a:stretch>
                  </pic:blipFill>
                  <pic:spPr>
                    <a:xfrm>
                      <a:off x="0" y="0"/>
                      <a:ext cx="5269230" cy="2430780"/>
                    </a:xfrm>
                    <a:prstGeom prst="rect">
                      <a:avLst/>
                    </a:prstGeom>
                    <a:noFill/>
                    <a:ln>
                      <a:noFill/>
                    </a:ln>
                  </pic:spPr>
                </pic:pic>
              </a:graphicData>
            </a:graphic>
          </wp:inline>
        </w:drawing>
      </w:r>
    </w:p>
    <w:p w14:paraId="009139B0">
      <w:pPr>
        <w:pStyle w:val="2"/>
        <w:ind w:left="0" w:leftChars="0" w:firstLine="480"/>
      </w:pPr>
      <w:r>
        <w:rPr>
          <w:rFonts w:hint="eastAsia"/>
        </w:rPr>
        <w:t>点击“文件下载”，可查看管理员上传的文件，点击文件标题可直接下载。</w:t>
      </w:r>
    </w:p>
    <w:p w14:paraId="5D07EA4C">
      <w:pPr>
        <w:ind w:firstLine="0" w:firstLineChars="0"/>
        <w:jc w:val="center"/>
        <w:rPr>
          <w:rFonts w:eastAsia="楷体"/>
        </w:rPr>
      </w:pPr>
      <w:r>
        <w:drawing>
          <wp:inline distT="0" distB="0" distL="0" distR="0">
            <wp:extent cx="5274310" cy="926465"/>
            <wp:effectExtent l="19050" t="19050" r="21590" b="2603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9"/>
                    <a:stretch>
                      <a:fillRect/>
                    </a:stretch>
                  </pic:blipFill>
                  <pic:spPr>
                    <a:xfrm>
                      <a:off x="0" y="0"/>
                      <a:ext cx="5274310" cy="926465"/>
                    </a:xfrm>
                    <a:prstGeom prst="rect">
                      <a:avLst/>
                    </a:prstGeom>
                    <a:ln>
                      <a:solidFill>
                        <a:schemeClr val="accent1"/>
                      </a:solidFill>
                    </a:ln>
                  </pic:spPr>
                </pic:pic>
              </a:graphicData>
            </a:graphic>
          </wp:inline>
        </w:drawing>
      </w:r>
    </w:p>
    <w:p w14:paraId="504E1685">
      <w:pPr>
        <w:pStyle w:val="5"/>
      </w:pPr>
      <w:bookmarkStart w:id="20" w:name="_Toc14522"/>
      <w:r>
        <w:rPr>
          <w:rFonts w:hint="eastAsia"/>
        </w:rPr>
        <w:t>通知公告与政策法规</w:t>
      </w:r>
      <w:bookmarkEnd w:id="20"/>
    </w:p>
    <w:p w14:paraId="061E95B1">
      <w:pPr>
        <w:pStyle w:val="2"/>
        <w:spacing w:after="0"/>
        <w:ind w:left="0" w:leftChars="0" w:firstLine="480"/>
      </w:pPr>
      <w:r>
        <w:rPr>
          <w:rFonts w:hint="eastAsia"/>
        </w:rPr>
        <w:t>“通知公告”和“政策法规”这两个部分，在首页轮播图下方进行展示，其中“政策法规”又细分为“学校管理制度”和“法律法规”两类。</w:t>
      </w:r>
    </w:p>
    <w:p w14:paraId="62AF6273">
      <w:pPr>
        <w:pStyle w:val="2"/>
        <w:spacing w:after="0"/>
        <w:ind w:left="0" w:leftChars="0" w:firstLine="480"/>
      </w:pPr>
      <w:r>
        <w:rPr>
          <w:rFonts w:hint="eastAsia"/>
        </w:rPr>
        <w:t>直接点击标题将跳转到相关页面进行阅读，点击右上角的“更多”，可查看该类型的所有内容。</w:t>
      </w:r>
    </w:p>
    <w:p w14:paraId="0606F727">
      <w:pPr>
        <w:pStyle w:val="2"/>
        <w:spacing w:after="0"/>
        <w:ind w:left="0" w:leftChars="0" w:firstLine="0" w:firstLineChars="0"/>
      </w:pPr>
      <w:r>
        <w:drawing>
          <wp:inline distT="0" distB="0" distL="0" distR="0">
            <wp:extent cx="5274310" cy="2069465"/>
            <wp:effectExtent l="19050" t="19050" r="21590" b="260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40"/>
                    <a:stretch>
                      <a:fillRect/>
                    </a:stretch>
                  </pic:blipFill>
                  <pic:spPr>
                    <a:xfrm>
                      <a:off x="0" y="0"/>
                      <a:ext cx="5274310" cy="2069465"/>
                    </a:xfrm>
                    <a:prstGeom prst="rect">
                      <a:avLst/>
                    </a:prstGeom>
                    <a:ln>
                      <a:solidFill>
                        <a:schemeClr val="accent1"/>
                      </a:solidFill>
                    </a:ln>
                  </pic:spPr>
                </pic:pic>
              </a:graphicData>
            </a:graphic>
          </wp:inline>
        </w:drawing>
      </w:r>
    </w:p>
    <w:p w14:paraId="266BBFDF">
      <w:pPr>
        <w:pStyle w:val="5"/>
      </w:pPr>
      <w:bookmarkStart w:id="21" w:name="_Toc17266"/>
      <w:r>
        <w:rPr>
          <w:rFonts w:hint="eastAsia"/>
        </w:rPr>
        <w:t>安全百科</w:t>
      </w:r>
      <w:bookmarkEnd w:id="21"/>
    </w:p>
    <w:p w14:paraId="461EE7E7">
      <w:pPr>
        <w:pStyle w:val="2"/>
        <w:spacing w:after="0"/>
        <w:ind w:left="0" w:leftChars="0" w:firstLine="480"/>
      </w:pPr>
      <w:r>
        <w:rPr>
          <w:rFonts w:hint="eastAsia"/>
        </w:rPr>
        <w:t>点击首页安全百科中的任一词条如“急救”，将跳转到词条关联文章页面，可查看与百科词条“急救”相关的所有内容。</w:t>
      </w:r>
    </w:p>
    <w:p w14:paraId="6C69D18F">
      <w:pPr>
        <w:pStyle w:val="2"/>
        <w:snapToGrid w:val="0"/>
        <w:spacing w:after="0" w:line="240" w:lineRule="auto"/>
        <w:ind w:left="0" w:leftChars="0" w:firstLine="0" w:firstLineChars="0"/>
      </w:pPr>
      <w:r>
        <mc:AlternateContent>
          <mc:Choice Requires="wps">
            <w:drawing>
              <wp:anchor distT="0" distB="0" distL="114300" distR="114300" simplePos="0" relativeHeight="251659264" behindDoc="0" locked="0" layoutInCell="1" allowOverlap="1">
                <wp:simplePos x="0" y="0"/>
                <wp:positionH relativeFrom="column">
                  <wp:posOffset>932180</wp:posOffset>
                </wp:positionH>
                <wp:positionV relativeFrom="paragraph">
                  <wp:posOffset>1998980</wp:posOffset>
                </wp:positionV>
                <wp:extent cx="0" cy="357505"/>
                <wp:effectExtent l="85725" t="0" r="85725" b="4445"/>
                <wp:wrapNone/>
                <wp:docPr id="63" name="直接箭头连接符 63"/>
                <wp:cNvGraphicFramePr/>
                <a:graphic xmlns:a="http://schemas.openxmlformats.org/drawingml/2006/main">
                  <a:graphicData uri="http://schemas.microsoft.com/office/word/2010/wordprocessingShape">
                    <wps:wsp>
                      <wps:cNvCnPr/>
                      <wps:spPr>
                        <a:xfrm>
                          <a:off x="2075180" y="6518275"/>
                          <a:ext cx="0" cy="35750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73.4pt;margin-top:157.4pt;height:28.15pt;width:0pt;z-index:251659264;mso-width-relative:page;mso-height-relative:page;" filled="f" stroked="t" coordsize="21600,21600" o:gfxdata="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w8A6jXAAAACwEAAA8AAAAAAAAA&#10;AQAgAAAAIgAAAGRycy9kb3ducmV2LnhtbFBLAQIUABQAAAAIAIdO4kApHJ56EgIAAOwDAAAOAAAA&#10;AAAAAAEAIAAAACYBAABkcnMvZTJvRG9jLnhtbFBLBQYAAAAABgAGAFkBAACqBQAAAAA=&#10;">
                <v:fill on="f" focussize="0,0"/>
                <v:stroke weight="3pt" color="#FF0000 [3204]" miterlimit="8" joinstyle="miter" endarrow="open"/>
                <v:imagedata o:title=""/>
                <o:lock v:ext="edit" aspectratio="f"/>
              </v:shape>
            </w:pict>
          </mc:Fallback>
        </mc:AlternateContent>
      </w:r>
      <w:r>
        <w:drawing>
          <wp:inline distT="0" distB="0" distL="114300" distR="114300">
            <wp:extent cx="5267960" cy="2033905"/>
            <wp:effectExtent l="9525" t="9525" r="18415"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41"/>
                    <a:srcRect l="-181" t="5982" r="181" b="51442"/>
                    <a:stretch>
                      <a:fillRect/>
                    </a:stretch>
                  </pic:blipFill>
                  <pic:spPr>
                    <a:xfrm>
                      <a:off x="0" y="0"/>
                      <a:ext cx="5267960" cy="2033905"/>
                    </a:xfrm>
                    <a:prstGeom prst="rect">
                      <a:avLst/>
                    </a:prstGeom>
                    <a:noFill/>
                    <a:ln>
                      <a:solidFill>
                        <a:schemeClr val="accent1"/>
                      </a:solidFill>
                    </a:ln>
                  </pic:spPr>
                </pic:pic>
              </a:graphicData>
            </a:graphic>
          </wp:inline>
        </w:drawing>
      </w:r>
    </w:p>
    <w:p w14:paraId="57EB69F4">
      <w:pPr>
        <w:pStyle w:val="2"/>
        <w:snapToGrid w:val="0"/>
        <w:spacing w:after="0" w:line="240" w:lineRule="auto"/>
        <w:ind w:left="0" w:leftChars="0" w:firstLine="0" w:firstLineChars="0"/>
      </w:pPr>
      <w:r>
        <w:drawing>
          <wp:inline distT="0" distB="0" distL="114300" distR="114300">
            <wp:extent cx="5265420" cy="1417955"/>
            <wp:effectExtent l="9525" t="9525" r="20955" b="20320"/>
            <wp:docPr id="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1"/>
                    <pic:cNvPicPr>
                      <a:picLocks noChangeAspect="1"/>
                    </pic:cNvPicPr>
                  </pic:nvPicPr>
                  <pic:blipFill>
                    <a:blip r:embed="rId42"/>
                    <a:srcRect t="16520" b="13216"/>
                    <a:stretch>
                      <a:fillRect/>
                    </a:stretch>
                  </pic:blipFill>
                  <pic:spPr>
                    <a:xfrm>
                      <a:off x="0" y="0"/>
                      <a:ext cx="5265420" cy="1417955"/>
                    </a:xfrm>
                    <a:prstGeom prst="rect">
                      <a:avLst/>
                    </a:prstGeom>
                    <a:noFill/>
                    <a:ln>
                      <a:solidFill>
                        <a:schemeClr val="accent1"/>
                      </a:solidFill>
                    </a:ln>
                  </pic:spPr>
                </pic:pic>
              </a:graphicData>
            </a:graphic>
          </wp:inline>
        </w:drawing>
      </w:r>
    </w:p>
    <w:p w14:paraId="71C85744">
      <w:pPr>
        <w:pStyle w:val="5"/>
      </w:pPr>
      <w:bookmarkStart w:id="22" w:name="_Toc243"/>
      <w:r>
        <w:rPr>
          <w:rFonts w:hint="eastAsia"/>
        </w:rPr>
        <w:t>安全知识库</w:t>
      </w:r>
      <w:bookmarkEnd w:id="22"/>
    </w:p>
    <w:p w14:paraId="2EFA4F59">
      <w:pPr>
        <w:pStyle w:val="2"/>
        <w:spacing w:after="0"/>
        <w:ind w:left="0" w:leftChars="0" w:firstLine="480"/>
      </w:pPr>
      <w:r>
        <w:rPr>
          <w:rFonts w:hint="eastAsia"/>
        </w:rPr>
        <w:t>首页的安全知识库仅展示部分模块，即“安全手册”、“安全标识”、“事故案例”和“安全知识”4大类型的内容，“安全视频”与“M</w:t>
      </w:r>
      <w:r>
        <w:t>SDS</w:t>
      </w:r>
      <w:r>
        <w:rPr>
          <w:rFonts w:hint="eastAsia"/>
        </w:rPr>
        <w:t>”模块不在首页进行展示，需要从导航栏的下拉菜单中选择进入。</w:t>
      </w:r>
    </w:p>
    <w:p w14:paraId="44A336C7">
      <w:pPr>
        <w:pStyle w:val="2"/>
        <w:spacing w:after="0"/>
        <w:ind w:left="0" w:leftChars="0" w:firstLine="480"/>
      </w:pPr>
      <w:r>
        <w:rPr>
          <w:rFonts w:hint="eastAsia"/>
        </w:rPr>
        <w:t>选择任一类型的安全知识，点击其下方的任一文章名称可跳转到详情页查看该篇安全知识详细内容；点击其右侧的“更多”，将跳转到该类型的“安全知识库”模块。</w:t>
      </w:r>
    </w:p>
    <w:p w14:paraId="125ADD91">
      <w:pPr>
        <w:pStyle w:val="2"/>
        <w:spacing w:after="0"/>
        <w:ind w:left="0" w:leftChars="0" w:firstLine="0" w:firstLineChars="0"/>
      </w:pPr>
      <w:r>
        <w:drawing>
          <wp:inline distT="0" distB="0" distL="0" distR="0">
            <wp:extent cx="5274310" cy="3053715"/>
            <wp:effectExtent l="19050" t="19050" r="21590" b="133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3"/>
                    <a:stretch>
                      <a:fillRect/>
                    </a:stretch>
                  </pic:blipFill>
                  <pic:spPr>
                    <a:xfrm>
                      <a:off x="0" y="0"/>
                      <a:ext cx="5274310" cy="3053715"/>
                    </a:xfrm>
                    <a:prstGeom prst="rect">
                      <a:avLst/>
                    </a:prstGeom>
                    <a:ln>
                      <a:solidFill>
                        <a:schemeClr val="accent1"/>
                      </a:solidFill>
                    </a:ln>
                  </pic:spPr>
                </pic:pic>
              </a:graphicData>
            </a:graphic>
          </wp:inline>
        </w:drawing>
      </w:r>
    </w:p>
    <w:p w14:paraId="1228EF77">
      <w:pPr>
        <w:pStyle w:val="4"/>
      </w:pPr>
      <w:bookmarkStart w:id="23" w:name="_Toc17699"/>
      <w:r>
        <w:rPr>
          <w:rFonts w:hint="eastAsia"/>
        </w:rPr>
        <w:t>通知公告</w:t>
      </w:r>
      <w:bookmarkEnd w:id="23"/>
    </w:p>
    <w:p w14:paraId="748BADB1">
      <w:pPr>
        <w:pStyle w:val="2"/>
        <w:spacing w:after="0"/>
        <w:ind w:left="0" w:leftChars="0" w:firstLine="480"/>
      </w:pPr>
      <w:r>
        <w:rPr>
          <w:rFonts w:hint="eastAsia"/>
        </w:rPr>
        <w:t>点击顶部导航栏“通知公告”跳转到通知公告模块，</w:t>
      </w:r>
      <w:bookmarkStart w:id="24" w:name="OLE_LINK8"/>
      <w:bookmarkStart w:id="25" w:name="OLE_LINK7"/>
      <w:r>
        <w:rPr>
          <w:rFonts w:hint="eastAsia"/>
        </w:rPr>
        <w:t>点击任意一篇通知公告如“教育部办公厅关于加强高校教学实验室安全工作的通知”，将跳转到详情页，可对该篇通知公告进行查看学习。</w:t>
      </w:r>
    </w:p>
    <w:bookmarkEnd w:id="24"/>
    <w:bookmarkEnd w:id="25"/>
    <w:p w14:paraId="2D32EA24">
      <w:pPr>
        <w:pStyle w:val="2"/>
        <w:spacing w:after="0"/>
        <w:ind w:left="0" w:leftChars="0" w:firstLine="0" w:firstLineChars="0"/>
      </w:pPr>
      <w:r>
        <w:drawing>
          <wp:inline distT="0" distB="0" distL="0" distR="0">
            <wp:extent cx="5274310" cy="2125345"/>
            <wp:effectExtent l="19050" t="19050" r="21590" b="273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4"/>
                    <a:stretch>
                      <a:fillRect/>
                    </a:stretch>
                  </pic:blipFill>
                  <pic:spPr>
                    <a:xfrm>
                      <a:off x="0" y="0"/>
                      <a:ext cx="5274310" cy="2125345"/>
                    </a:xfrm>
                    <a:prstGeom prst="rect">
                      <a:avLst/>
                    </a:prstGeom>
                    <a:ln>
                      <a:solidFill>
                        <a:schemeClr val="accent1"/>
                      </a:solidFill>
                    </a:ln>
                  </pic:spPr>
                </pic:pic>
              </a:graphicData>
            </a:graphic>
          </wp:inline>
        </w:drawing>
      </w:r>
    </w:p>
    <w:p w14:paraId="0B68FB29">
      <w:pPr>
        <w:pStyle w:val="4"/>
      </w:pPr>
      <w:bookmarkStart w:id="26" w:name="_Toc364"/>
      <w:r>
        <w:rPr>
          <w:rFonts w:hint="eastAsia"/>
        </w:rPr>
        <w:t>政策法规</w:t>
      </w:r>
      <w:bookmarkEnd w:id="26"/>
    </w:p>
    <w:p w14:paraId="6BD13CD8">
      <w:pPr>
        <w:ind w:firstLine="480"/>
      </w:pPr>
      <w:r>
        <w:rPr>
          <w:rFonts w:hint="eastAsia"/>
        </w:rPr>
        <w:t>点击顶部导航栏“政策法规”，可查看相关政策法规，包括“国家法律法规”、“地方法律法规”和“学校制度”，点击可切换查看不同类型的政策法规。</w:t>
      </w:r>
    </w:p>
    <w:p w14:paraId="34443092">
      <w:pPr>
        <w:pStyle w:val="2"/>
        <w:spacing w:after="0"/>
        <w:ind w:left="0" w:leftChars="0" w:firstLine="480"/>
      </w:pPr>
      <w:r>
        <w:rPr>
          <w:rFonts w:hint="eastAsia"/>
        </w:rPr>
        <w:t>点击任意一篇通知公告如“中共中央办公厅国务院办公厅印发《关于全面加强危险化学品安全生产工作的意见》”，将跳转到详情页，可对该篇政策法规进行查看学习。</w:t>
      </w:r>
    </w:p>
    <w:p w14:paraId="3A3115B4">
      <w:pPr>
        <w:ind w:firstLine="0" w:firstLineChars="0"/>
        <w:jc w:val="center"/>
      </w:pPr>
      <w:r>
        <w:drawing>
          <wp:inline distT="0" distB="0" distL="0" distR="0">
            <wp:extent cx="5274310" cy="2938145"/>
            <wp:effectExtent l="19050" t="19050" r="21590" b="146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5"/>
                    <a:stretch>
                      <a:fillRect/>
                    </a:stretch>
                  </pic:blipFill>
                  <pic:spPr>
                    <a:xfrm>
                      <a:off x="0" y="0"/>
                      <a:ext cx="5274310" cy="2938145"/>
                    </a:xfrm>
                    <a:prstGeom prst="rect">
                      <a:avLst/>
                    </a:prstGeom>
                    <a:ln>
                      <a:solidFill>
                        <a:schemeClr val="accent1"/>
                      </a:solidFill>
                    </a:ln>
                  </pic:spPr>
                </pic:pic>
              </a:graphicData>
            </a:graphic>
          </wp:inline>
        </w:drawing>
      </w:r>
    </w:p>
    <w:p w14:paraId="5217A40D">
      <w:pPr>
        <w:pStyle w:val="2"/>
        <w:spacing w:after="0"/>
        <w:ind w:left="0" w:leftChars="0" w:firstLineChars="0"/>
      </w:pPr>
      <w:r>
        <w:rPr>
          <w:rFonts w:hint="eastAsia"/>
        </w:rPr>
        <w:t>进入详情页，系统将自动记录用户学习该篇政策法规的时长，也可在页面右侧查看累计学习时长；点击右侧的“</w:t>
      </w:r>
      <w:r>
        <w:drawing>
          <wp:inline distT="0" distB="0" distL="0" distR="0">
            <wp:extent cx="123190" cy="123190"/>
            <wp:effectExtent l="0" t="0" r="10160" b="1016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6"/>
                    <a:stretch>
                      <a:fillRect/>
                    </a:stretch>
                  </pic:blipFill>
                  <pic:spPr>
                    <a:xfrm>
                      <a:off x="0" y="0"/>
                      <a:ext cx="128134" cy="128134"/>
                    </a:xfrm>
                    <a:prstGeom prst="rect">
                      <a:avLst/>
                    </a:prstGeom>
                  </pic:spPr>
                </pic:pic>
              </a:graphicData>
            </a:graphic>
          </wp:inline>
        </w:drawing>
      </w:r>
      <w:r>
        <w:rPr>
          <w:rFonts w:hint="eastAsia"/>
        </w:rPr>
        <w:t>”可收藏此篇政策法规。</w:t>
      </w:r>
    </w:p>
    <w:p w14:paraId="78B9CA6F">
      <w:pPr>
        <w:pStyle w:val="2"/>
        <w:spacing w:after="0"/>
        <w:ind w:left="0" w:leftChars="0" w:firstLineChars="0"/>
      </w:pPr>
      <w:r>
        <w:rPr>
          <w:rFonts w:hint="eastAsia"/>
        </w:rPr>
        <w:t>学习政策法规至最后，可点击“返回”，回到政策法规模块。</w:t>
      </w:r>
    </w:p>
    <w:p w14:paraId="36DDA8D7">
      <w:pPr>
        <w:pStyle w:val="2"/>
        <w:snapToGrid w:val="0"/>
        <w:spacing w:after="0" w:line="240" w:lineRule="auto"/>
        <w:ind w:left="0" w:leftChars="0" w:firstLine="0" w:firstLineChars="0"/>
      </w:pPr>
      <w:r>
        <w:drawing>
          <wp:inline distT="0" distB="0" distL="0" distR="0">
            <wp:extent cx="5274310" cy="1634490"/>
            <wp:effectExtent l="19050" t="19050" r="21590" b="2286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47"/>
                    <a:stretch>
                      <a:fillRect/>
                    </a:stretch>
                  </pic:blipFill>
                  <pic:spPr>
                    <a:xfrm>
                      <a:off x="0" y="0"/>
                      <a:ext cx="5274310" cy="1634490"/>
                    </a:xfrm>
                    <a:prstGeom prst="rect">
                      <a:avLst/>
                    </a:prstGeom>
                    <a:ln>
                      <a:solidFill>
                        <a:schemeClr val="accent1"/>
                      </a:solidFill>
                    </a:ln>
                  </pic:spPr>
                </pic:pic>
              </a:graphicData>
            </a:graphic>
          </wp:inline>
        </w:drawing>
      </w:r>
    </w:p>
    <w:p w14:paraId="60F7146D">
      <w:pPr>
        <w:pStyle w:val="2"/>
        <w:snapToGrid w:val="0"/>
        <w:spacing w:after="0" w:line="240" w:lineRule="auto"/>
        <w:ind w:left="0" w:leftChars="0" w:firstLine="0" w:firstLineChars="0"/>
      </w:pPr>
      <w:r>
        <w:drawing>
          <wp:inline distT="0" distB="0" distL="0" distR="0">
            <wp:extent cx="5274310" cy="1249680"/>
            <wp:effectExtent l="19050" t="19050" r="21590" b="266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8"/>
                    <a:stretch>
                      <a:fillRect/>
                    </a:stretch>
                  </pic:blipFill>
                  <pic:spPr>
                    <a:xfrm>
                      <a:off x="0" y="0"/>
                      <a:ext cx="5274310" cy="1249680"/>
                    </a:xfrm>
                    <a:prstGeom prst="rect">
                      <a:avLst/>
                    </a:prstGeom>
                    <a:ln>
                      <a:solidFill>
                        <a:schemeClr val="accent1"/>
                      </a:solidFill>
                    </a:ln>
                  </pic:spPr>
                </pic:pic>
              </a:graphicData>
            </a:graphic>
          </wp:inline>
        </w:drawing>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850" w:gutter="0"/>
      <w:pgNumType w:start="0"/>
      <w:cols w:space="425" w:num="1"/>
      <w:titlePg/>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1721947"/>
      <w:docPartObj>
        <w:docPartGallery w:val="autotext"/>
      </w:docPartObj>
    </w:sdtPr>
    <w:sdtContent>
      <w:p w14:paraId="2AAD089A">
        <w:pPr>
          <w:pStyle w:val="9"/>
          <w:ind w:firstLine="360"/>
          <w:jc w:val="center"/>
        </w:pPr>
        <w:r>
          <w:fldChar w:fldCharType="begin"/>
        </w:r>
        <w:r>
          <w:instrText xml:space="preserve">PAGE   \* MERGEFORMAT</w:instrText>
        </w:r>
        <w:r>
          <w:fldChar w:fldCharType="separate"/>
        </w:r>
        <w:r>
          <w:rPr>
            <w:lang w:val="zh-CN"/>
          </w:rPr>
          <w:t>2</w:t>
        </w:r>
        <w:r>
          <w:fldChar w:fldCharType="end"/>
        </w:r>
      </w:p>
    </w:sdtContent>
  </w:sdt>
  <w:p w14:paraId="48FFEE6B">
    <w:pPr>
      <w:pStyle w:val="9"/>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D029B">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C0339">
    <w:pPr>
      <w:pStyle w:val="9"/>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EFFE">
    <w:pPr>
      <w:pStyle w:val="10"/>
      <w:ind w:firstLine="360"/>
      <w:jc w:val="right"/>
    </w:pPr>
    <w:r>
      <w:drawing>
        <wp:inline distT="0" distB="0" distL="0" distR="0">
          <wp:extent cx="999490" cy="262890"/>
          <wp:effectExtent l="0" t="0" r="0" b="381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51406" cy="27687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34B40">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81CFA">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AC6D66"/>
    <w:multiLevelType w:val="multilevel"/>
    <w:tmpl w:val="64AC6D66"/>
    <w:lvl w:ilvl="0" w:tentative="0">
      <w:start w:val="1"/>
      <w:numFmt w:val="decimal"/>
      <w:pStyle w:val="4"/>
      <w:suff w:val="space"/>
      <w:lvlText w:val="%1"/>
      <w:lvlJc w:val="left"/>
      <w:pPr>
        <w:ind w:left="0" w:firstLine="0"/>
      </w:pPr>
      <w:rPr>
        <w:rFonts w:hint="eastAsia"/>
      </w:rPr>
    </w:lvl>
    <w:lvl w:ilvl="1" w:tentative="0">
      <w:start w:val="1"/>
      <w:numFmt w:val="decimal"/>
      <w:pStyle w:val="5"/>
      <w:suff w:val="space"/>
      <w:lvlText w:val="%1.%2"/>
      <w:lvlJc w:val="left"/>
      <w:pPr>
        <w:ind w:left="0" w:firstLine="0"/>
      </w:pPr>
      <w:rPr>
        <w:rFonts w:hint="eastAsia"/>
      </w:rPr>
    </w:lvl>
    <w:lvl w:ilvl="2" w:tentative="0">
      <w:start w:val="1"/>
      <w:numFmt w:val="decimal"/>
      <w:pStyle w:val="6"/>
      <w:suff w:val="space"/>
      <w:lvlText w:val="%1.%2.%3"/>
      <w:lvlJc w:val="left"/>
      <w:pPr>
        <w:ind w:left="0" w:firstLine="0"/>
      </w:pPr>
      <w:rPr>
        <w:rFonts w:hint="eastAsia"/>
      </w:rPr>
    </w:lvl>
    <w:lvl w:ilvl="3" w:tentative="0">
      <w:start w:val="1"/>
      <w:numFmt w:val="decimal"/>
      <w:pStyle w:val="7"/>
      <w:suff w:val="space"/>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BlNTU4Yjc2NGI0YmRjYzljZTYwYjcyNjQ5NjRjY2EifQ=="/>
  </w:docVars>
  <w:rsids>
    <w:rsidRoot w:val="00E91FAF"/>
    <w:rsid w:val="00010C6F"/>
    <w:rsid w:val="00011541"/>
    <w:rsid w:val="00011F27"/>
    <w:rsid w:val="000168D4"/>
    <w:rsid w:val="00022463"/>
    <w:rsid w:val="000253E8"/>
    <w:rsid w:val="000321E3"/>
    <w:rsid w:val="00033BFF"/>
    <w:rsid w:val="0004041E"/>
    <w:rsid w:val="00042697"/>
    <w:rsid w:val="000449A8"/>
    <w:rsid w:val="00057BEC"/>
    <w:rsid w:val="00060CB3"/>
    <w:rsid w:val="0006418F"/>
    <w:rsid w:val="00067EBE"/>
    <w:rsid w:val="000755B8"/>
    <w:rsid w:val="00075F41"/>
    <w:rsid w:val="000810D1"/>
    <w:rsid w:val="00082A1B"/>
    <w:rsid w:val="00083678"/>
    <w:rsid w:val="0008398D"/>
    <w:rsid w:val="0009039C"/>
    <w:rsid w:val="00094322"/>
    <w:rsid w:val="000965F5"/>
    <w:rsid w:val="000A4BED"/>
    <w:rsid w:val="000B0072"/>
    <w:rsid w:val="000B0A52"/>
    <w:rsid w:val="000B5A06"/>
    <w:rsid w:val="000C6510"/>
    <w:rsid w:val="000D1A89"/>
    <w:rsid w:val="000D3250"/>
    <w:rsid w:val="000D392A"/>
    <w:rsid w:val="000D772E"/>
    <w:rsid w:val="000E02D6"/>
    <w:rsid w:val="0010226F"/>
    <w:rsid w:val="00103C79"/>
    <w:rsid w:val="00104328"/>
    <w:rsid w:val="00105F11"/>
    <w:rsid w:val="00117BC1"/>
    <w:rsid w:val="001202E4"/>
    <w:rsid w:val="00130F68"/>
    <w:rsid w:val="00135BF0"/>
    <w:rsid w:val="00143959"/>
    <w:rsid w:val="00145387"/>
    <w:rsid w:val="00146427"/>
    <w:rsid w:val="001465F0"/>
    <w:rsid w:val="0015337A"/>
    <w:rsid w:val="001565EA"/>
    <w:rsid w:val="00156654"/>
    <w:rsid w:val="00165076"/>
    <w:rsid w:val="001658F7"/>
    <w:rsid w:val="001710B2"/>
    <w:rsid w:val="00172A4D"/>
    <w:rsid w:val="001818F8"/>
    <w:rsid w:val="001868E4"/>
    <w:rsid w:val="00186DC9"/>
    <w:rsid w:val="001A6AE7"/>
    <w:rsid w:val="001A75D6"/>
    <w:rsid w:val="001B183A"/>
    <w:rsid w:val="001B2FAE"/>
    <w:rsid w:val="001B7783"/>
    <w:rsid w:val="001B78EC"/>
    <w:rsid w:val="001C041B"/>
    <w:rsid w:val="001C04E3"/>
    <w:rsid w:val="001C2FD8"/>
    <w:rsid w:val="001C3D6A"/>
    <w:rsid w:val="001C7BA4"/>
    <w:rsid w:val="001D0914"/>
    <w:rsid w:val="001D64EF"/>
    <w:rsid w:val="001E7E34"/>
    <w:rsid w:val="001F0813"/>
    <w:rsid w:val="00201817"/>
    <w:rsid w:val="002035B4"/>
    <w:rsid w:val="00205BE5"/>
    <w:rsid w:val="00213767"/>
    <w:rsid w:val="002148BF"/>
    <w:rsid w:val="00217546"/>
    <w:rsid w:val="00221FB4"/>
    <w:rsid w:val="00222BA7"/>
    <w:rsid w:val="002261CB"/>
    <w:rsid w:val="002319E6"/>
    <w:rsid w:val="002368D5"/>
    <w:rsid w:val="0025195C"/>
    <w:rsid w:val="002554F2"/>
    <w:rsid w:val="002558A9"/>
    <w:rsid w:val="0025724D"/>
    <w:rsid w:val="0026087F"/>
    <w:rsid w:val="00261E2B"/>
    <w:rsid w:val="00270484"/>
    <w:rsid w:val="002749A6"/>
    <w:rsid w:val="00274B6D"/>
    <w:rsid w:val="0027654F"/>
    <w:rsid w:val="00276D7B"/>
    <w:rsid w:val="002776EC"/>
    <w:rsid w:val="00277DE3"/>
    <w:rsid w:val="00283A85"/>
    <w:rsid w:val="002867B9"/>
    <w:rsid w:val="002942AE"/>
    <w:rsid w:val="002A1AAC"/>
    <w:rsid w:val="002A27AA"/>
    <w:rsid w:val="002A784F"/>
    <w:rsid w:val="002A7FAC"/>
    <w:rsid w:val="002B0092"/>
    <w:rsid w:val="002B16A8"/>
    <w:rsid w:val="002B312F"/>
    <w:rsid w:val="002B5422"/>
    <w:rsid w:val="002B54C8"/>
    <w:rsid w:val="002B5F4B"/>
    <w:rsid w:val="002B74BB"/>
    <w:rsid w:val="002B7DAB"/>
    <w:rsid w:val="002C4A74"/>
    <w:rsid w:val="002C5933"/>
    <w:rsid w:val="002C5C09"/>
    <w:rsid w:val="002D0602"/>
    <w:rsid w:val="002D208D"/>
    <w:rsid w:val="002D3AC9"/>
    <w:rsid w:val="002F2705"/>
    <w:rsid w:val="002F5375"/>
    <w:rsid w:val="002F6136"/>
    <w:rsid w:val="00312005"/>
    <w:rsid w:val="0031257D"/>
    <w:rsid w:val="00314320"/>
    <w:rsid w:val="00316D9D"/>
    <w:rsid w:val="00333736"/>
    <w:rsid w:val="00333764"/>
    <w:rsid w:val="00334A2D"/>
    <w:rsid w:val="00340A7D"/>
    <w:rsid w:val="003642BD"/>
    <w:rsid w:val="003655E9"/>
    <w:rsid w:val="0037053B"/>
    <w:rsid w:val="0037583A"/>
    <w:rsid w:val="003763D2"/>
    <w:rsid w:val="00377B21"/>
    <w:rsid w:val="00392C11"/>
    <w:rsid w:val="0039498D"/>
    <w:rsid w:val="003951BD"/>
    <w:rsid w:val="003A4B59"/>
    <w:rsid w:val="003A5B24"/>
    <w:rsid w:val="003A6DA8"/>
    <w:rsid w:val="003B11FC"/>
    <w:rsid w:val="003C4DD2"/>
    <w:rsid w:val="003C6BB8"/>
    <w:rsid w:val="003D11F8"/>
    <w:rsid w:val="003D587D"/>
    <w:rsid w:val="003D5C12"/>
    <w:rsid w:val="003E6953"/>
    <w:rsid w:val="003E6969"/>
    <w:rsid w:val="003F2FBC"/>
    <w:rsid w:val="003F3490"/>
    <w:rsid w:val="003F68CD"/>
    <w:rsid w:val="003F7ED5"/>
    <w:rsid w:val="00410169"/>
    <w:rsid w:val="00410F4D"/>
    <w:rsid w:val="00411EEF"/>
    <w:rsid w:val="00414C3B"/>
    <w:rsid w:val="0041670E"/>
    <w:rsid w:val="00416F3D"/>
    <w:rsid w:val="004329C3"/>
    <w:rsid w:val="00432E8B"/>
    <w:rsid w:val="00435E40"/>
    <w:rsid w:val="00440C3D"/>
    <w:rsid w:val="00445FBE"/>
    <w:rsid w:val="00460CCC"/>
    <w:rsid w:val="00465375"/>
    <w:rsid w:val="004658C6"/>
    <w:rsid w:val="00470243"/>
    <w:rsid w:val="00470F47"/>
    <w:rsid w:val="004766DF"/>
    <w:rsid w:val="004862CA"/>
    <w:rsid w:val="00493768"/>
    <w:rsid w:val="004975F2"/>
    <w:rsid w:val="004A7CEB"/>
    <w:rsid w:val="004B23F3"/>
    <w:rsid w:val="004B3836"/>
    <w:rsid w:val="004B5BD4"/>
    <w:rsid w:val="004B7A5A"/>
    <w:rsid w:val="004C0C5B"/>
    <w:rsid w:val="004C7A39"/>
    <w:rsid w:val="004D2244"/>
    <w:rsid w:val="004F163F"/>
    <w:rsid w:val="004F37A1"/>
    <w:rsid w:val="005112BB"/>
    <w:rsid w:val="005133B8"/>
    <w:rsid w:val="00513C7E"/>
    <w:rsid w:val="005152D4"/>
    <w:rsid w:val="00523D3C"/>
    <w:rsid w:val="005313CD"/>
    <w:rsid w:val="00533B5B"/>
    <w:rsid w:val="00535A0A"/>
    <w:rsid w:val="0054215B"/>
    <w:rsid w:val="005466A9"/>
    <w:rsid w:val="005524C2"/>
    <w:rsid w:val="00554FBE"/>
    <w:rsid w:val="00562373"/>
    <w:rsid w:val="0056280B"/>
    <w:rsid w:val="00562A73"/>
    <w:rsid w:val="00563C1F"/>
    <w:rsid w:val="00565D34"/>
    <w:rsid w:val="0056637F"/>
    <w:rsid w:val="00575D05"/>
    <w:rsid w:val="00584944"/>
    <w:rsid w:val="00587C46"/>
    <w:rsid w:val="00592D57"/>
    <w:rsid w:val="00595495"/>
    <w:rsid w:val="00596E25"/>
    <w:rsid w:val="0059795E"/>
    <w:rsid w:val="005A0767"/>
    <w:rsid w:val="005A6A41"/>
    <w:rsid w:val="005B4857"/>
    <w:rsid w:val="005C0C58"/>
    <w:rsid w:val="005C21A4"/>
    <w:rsid w:val="005D12A2"/>
    <w:rsid w:val="005D2B77"/>
    <w:rsid w:val="005D35FA"/>
    <w:rsid w:val="005E323A"/>
    <w:rsid w:val="005E5AEF"/>
    <w:rsid w:val="005F2A52"/>
    <w:rsid w:val="005F7CB1"/>
    <w:rsid w:val="0060457B"/>
    <w:rsid w:val="006070F8"/>
    <w:rsid w:val="00614130"/>
    <w:rsid w:val="00615CB6"/>
    <w:rsid w:val="006163EF"/>
    <w:rsid w:val="00624136"/>
    <w:rsid w:val="00627AE1"/>
    <w:rsid w:val="00633C44"/>
    <w:rsid w:val="00637301"/>
    <w:rsid w:val="00640798"/>
    <w:rsid w:val="006419D2"/>
    <w:rsid w:val="00641BD2"/>
    <w:rsid w:val="0064403F"/>
    <w:rsid w:val="00644489"/>
    <w:rsid w:val="006460A5"/>
    <w:rsid w:val="00654A7E"/>
    <w:rsid w:val="006561B8"/>
    <w:rsid w:val="00657FB9"/>
    <w:rsid w:val="00661BF2"/>
    <w:rsid w:val="006656D9"/>
    <w:rsid w:val="00666AC9"/>
    <w:rsid w:val="00670C14"/>
    <w:rsid w:val="006728DD"/>
    <w:rsid w:val="00672D7E"/>
    <w:rsid w:val="006732D8"/>
    <w:rsid w:val="00674F36"/>
    <w:rsid w:val="006753DD"/>
    <w:rsid w:val="0067595E"/>
    <w:rsid w:val="0068119E"/>
    <w:rsid w:val="00691553"/>
    <w:rsid w:val="00693361"/>
    <w:rsid w:val="00695866"/>
    <w:rsid w:val="006A3EE5"/>
    <w:rsid w:val="006A6747"/>
    <w:rsid w:val="006A7790"/>
    <w:rsid w:val="006B6B2B"/>
    <w:rsid w:val="006C04EC"/>
    <w:rsid w:val="006C2A52"/>
    <w:rsid w:val="006C4E2E"/>
    <w:rsid w:val="006C536F"/>
    <w:rsid w:val="006D0C2D"/>
    <w:rsid w:val="006D2CFD"/>
    <w:rsid w:val="006D32A8"/>
    <w:rsid w:val="006E1248"/>
    <w:rsid w:val="006E52A4"/>
    <w:rsid w:val="006F24C1"/>
    <w:rsid w:val="006F2780"/>
    <w:rsid w:val="006F4843"/>
    <w:rsid w:val="00700618"/>
    <w:rsid w:val="00700B6F"/>
    <w:rsid w:val="0071167C"/>
    <w:rsid w:val="00712F90"/>
    <w:rsid w:val="007146A8"/>
    <w:rsid w:val="007262C4"/>
    <w:rsid w:val="00727871"/>
    <w:rsid w:val="007319D7"/>
    <w:rsid w:val="00733297"/>
    <w:rsid w:val="007364B4"/>
    <w:rsid w:val="00737175"/>
    <w:rsid w:val="007376A0"/>
    <w:rsid w:val="00740AAD"/>
    <w:rsid w:val="00743389"/>
    <w:rsid w:val="00744770"/>
    <w:rsid w:val="00744D3C"/>
    <w:rsid w:val="007508BB"/>
    <w:rsid w:val="00766091"/>
    <w:rsid w:val="00774171"/>
    <w:rsid w:val="00777F50"/>
    <w:rsid w:val="0078048E"/>
    <w:rsid w:val="00780BE7"/>
    <w:rsid w:val="007875BF"/>
    <w:rsid w:val="00787683"/>
    <w:rsid w:val="0079446D"/>
    <w:rsid w:val="007A08E2"/>
    <w:rsid w:val="007A1DB2"/>
    <w:rsid w:val="007A22FA"/>
    <w:rsid w:val="007A5E0A"/>
    <w:rsid w:val="007A64F9"/>
    <w:rsid w:val="007B1F15"/>
    <w:rsid w:val="007B5292"/>
    <w:rsid w:val="007B7D4A"/>
    <w:rsid w:val="007C6F3B"/>
    <w:rsid w:val="007D1425"/>
    <w:rsid w:val="007D4EA8"/>
    <w:rsid w:val="007E03FB"/>
    <w:rsid w:val="007E0A86"/>
    <w:rsid w:val="007E426D"/>
    <w:rsid w:val="007F10E4"/>
    <w:rsid w:val="007F6564"/>
    <w:rsid w:val="007F7860"/>
    <w:rsid w:val="00800ECE"/>
    <w:rsid w:val="00805381"/>
    <w:rsid w:val="00806608"/>
    <w:rsid w:val="00813AF1"/>
    <w:rsid w:val="00814EC5"/>
    <w:rsid w:val="00815FF3"/>
    <w:rsid w:val="00816404"/>
    <w:rsid w:val="008235F4"/>
    <w:rsid w:val="008347E1"/>
    <w:rsid w:val="00836503"/>
    <w:rsid w:val="008410E0"/>
    <w:rsid w:val="00842452"/>
    <w:rsid w:val="00846F4D"/>
    <w:rsid w:val="008479DB"/>
    <w:rsid w:val="0085383A"/>
    <w:rsid w:val="00854595"/>
    <w:rsid w:val="008652C6"/>
    <w:rsid w:val="0087429A"/>
    <w:rsid w:val="008837C8"/>
    <w:rsid w:val="00887601"/>
    <w:rsid w:val="00891EB1"/>
    <w:rsid w:val="00892EF9"/>
    <w:rsid w:val="00895FA5"/>
    <w:rsid w:val="00896A14"/>
    <w:rsid w:val="008A1513"/>
    <w:rsid w:val="008A54AC"/>
    <w:rsid w:val="008A7B20"/>
    <w:rsid w:val="008A7C51"/>
    <w:rsid w:val="008B3BF1"/>
    <w:rsid w:val="008B430D"/>
    <w:rsid w:val="008C0CF4"/>
    <w:rsid w:val="008C6CE1"/>
    <w:rsid w:val="008C7329"/>
    <w:rsid w:val="008D0032"/>
    <w:rsid w:val="008D29B8"/>
    <w:rsid w:val="008D4251"/>
    <w:rsid w:val="008D4314"/>
    <w:rsid w:val="008D59E0"/>
    <w:rsid w:val="008E5FE8"/>
    <w:rsid w:val="008F2F15"/>
    <w:rsid w:val="008F30D7"/>
    <w:rsid w:val="008F56FB"/>
    <w:rsid w:val="00901A13"/>
    <w:rsid w:val="00907AA3"/>
    <w:rsid w:val="00912E64"/>
    <w:rsid w:val="00915BA1"/>
    <w:rsid w:val="00924FBE"/>
    <w:rsid w:val="00926B11"/>
    <w:rsid w:val="0092737A"/>
    <w:rsid w:val="00936794"/>
    <w:rsid w:val="0094359F"/>
    <w:rsid w:val="00944D0E"/>
    <w:rsid w:val="00946D17"/>
    <w:rsid w:val="0095579A"/>
    <w:rsid w:val="0096413D"/>
    <w:rsid w:val="009657E6"/>
    <w:rsid w:val="0097252D"/>
    <w:rsid w:val="0098179A"/>
    <w:rsid w:val="00982003"/>
    <w:rsid w:val="00983A86"/>
    <w:rsid w:val="00983DB0"/>
    <w:rsid w:val="00986053"/>
    <w:rsid w:val="00986E25"/>
    <w:rsid w:val="00992197"/>
    <w:rsid w:val="00994DC8"/>
    <w:rsid w:val="009968DA"/>
    <w:rsid w:val="009A24AA"/>
    <w:rsid w:val="009A554D"/>
    <w:rsid w:val="009B1747"/>
    <w:rsid w:val="009B5A00"/>
    <w:rsid w:val="009B757F"/>
    <w:rsid w:val="009C1A06"/>
    <w:rsid w:val="009C53B9"/>
    <w:rsid w:val="009D4080"/>
    <w:rsid w:val="009D6DB1"/>
    <w:rsid w:val="009E39E5"/>
    <w:rsid w:val="009E6CF4"/>
    <w:rsid w:val="009F124C"/>
    <w:rsid w:val="009F30D6"/>
    <w:rsid w:val="009F4A09"/>
    <w:rsid w:val="009F6A1E"/>
    <w:rsid w:val="009F6D71"/>
    <w:rsid w:val="00A031FE"/>
    <w:rsid w:val="00A055E6"/>
    <w:rsid w:val="00A1072B"/>
    <w:rsid w:val="00A10ECD"/>
    <w:rsid w:val="00A117D1"/>
    <w:rsid w:val="00A12184"/>
    <w:rsid w:val="00A14812"/>
    <w:rsid w:val="00A21582"/>
    <w:rsid w:val="00A236FC"/>
    <w:rsid w:val="00A25B5A"/>
    <w:rsid w:val="00A34A8A"/>
    <w:rsid w:val="00A41300"/>
    <w:rsid w:val="00A443DA"/>
    <w:rsid w:val="00A45588"/>
    <w:rsid w:val="00A52B7D"/>
    <w:rsid w:val="00A6015B"/>
    <w:rsid w:val="00A6052D"/>
    <w:rsid w:val="00A82BD1"/>
    <w:rsid w:val="00A929B6"/>
    <w:rsid w:val="00AA2C8D"/>
    <w:rsid w:val="00AA5A2E"/>
    <w:rsid w:val="00AA77F3"/>
    <w:rsid w:val="00AA7BBF"/>
    <w:rsid w:val="00AB4FA6"/>
    <w:rsid w:val="00AB50ED"/>
    <w:rsid w:val="00AB5349"/>
    <w:rsid w:val="00AB65D2"/>
    <w:rsid w:val="00AB7E5F"/>
    <w:rsid w:val="00AC29FB"/>
    <w:rsid w:val="00AD2A3B"/>
    <w:rsid w:val="00AD384E"/>
    <w:rsid w:val="00AD3AFD"/>
    <w:rsid w:val="00AF0D4C"/>
    <w:rsid w:val="00AF2EFF"/>
    <w:rsid w:val="00AF5C54"/>
    <w:rsid w:val="00AF7F18"/>
    <w:rsid w:val="00B00A45"/>
    <w:rsid w:val="00B059C7"/>
    <w:rsid w:val="00B072B5"/>
    <w:rsid w:val="00B07DC7"/>
    <w:rsid w:val="00B07EB0"/>
    <w:rsid w:val="00B102A9"/>
    <w:rsid w:val="00B11079"/>
    <w:rsid w:val="00B11EAF"/>
    <w:rsid w:val="00B15DBD"/>
    <w:rsid w:val="00B2728C"/>
    <w:rsid w:val="00B30262"/>
    <w:rsid w:val="00B30634"/>
    <w:rsid w:val="00B34174"/>
    <w:rsid w:val="00B36BA4"/>
    <w:rsid w:val="00B51CF9"/>
    <w:rsid w:val="00B5331B"/>
    <w:rsid w:val="00B54E80"/>
    <w:rsid w:val="00B57F62"/>
    <w:rsid w:val="00B65DA8"/>
    <w:rsid w:val="00B67669"/>
    <w:rsid w:val="00B71D8F"/>
    <w:rsid w:val="00B73063"/>
    <w:rsid w:val="00B74C01"/>
    <w:rsid w:val="00B8086E"/>
    <w:rsid w:val="00B81739"/>
    <w:rsid w:val="00B833A3"/>
    <w:rsid w:val="00B936F6"/>
    <w:rsid w:val="00B94C02"/>
    <w:rsid w:val="00B975C0"/>
    <w:rsid w:val="00BA20BF"/>
    <w:rsid w:val="00BA66DB"/>
    <w:rsid w:val="00BB41D5"/>
    <w:rsid w:val="00BC43CD"/>
    <w:rsid w:val="00BC539F"/>
    <w:rsid w:val="00C04334"/>
    <w:rsid w:val="00C0454C"/>
    <w:rsid w:val="00C07981"/>
    <w:rsid w:val="00C11F04"/>
    <w:rsid w:val="00C2335A"/>
    <w:rsid w:val="00C23A91"/>
    <w:rsid w:val="00C2422C"/>
    <w:rsid w:val="00C26B1A"/>
    <w:rsid w:val="00C26DF3"/>
    <w:rsid w:val="00C37CFA"/>
    <w:rsid w:val="00C45446"/>
    <w:rsid w:val="00C56DA5"/>
    <w:rsid w:val="00C61293"/>
    <w:rsid w:val="00C62BD3"/>
    <w:rsid w:val="00C66B37"/>
    <w:rsid w:val="00C66B52"/>
    <w:rsid w:val="00C835E3"/>
    <w:rsid w:val="00C868E4"/>
    <w:rsid w:val="00C903C4"/>
    <w:rsid w:val="00C91A11"/>
    <w:rsid w:val="00C91CB1"/>
    <w:rsid w:val="00C95370"/>
    <w:rsid w:val="00C96F29"/>
    <w:rsid w:val="00CA007F"/>
    <w:rsid w:val="00CA30EE"/>
    <w:rsid w:val="00CA49C7"/>
    <w:rsid w:val="00CA62A7"/>
    <w:rsid w:val="00CB2A80"/>
    <w:rsid w:val="00CC12AA"/>
    <w:rsid w:val="00CC2553"/>
    <w:rsid w:val="00CC3F64"/>
    <w:rsid w:val="00CD31CF"/>
    <w:rsid w:val="00CE7F87"/>
    <w:rsid w:val="00CF4688"/>
    <w:rsid w:val="00CF4E55"/>
    <w:rsid w:val="00CF532D"/>
    <w:rsid w:val="00CF6CBB"/>
    <w:rsid w:val="00CF72D8"/>
    <w:rsid w:val="00D0112E"/>
    <w:rsid w:val="00D027CA"/>
    <w:rsid w:val="00D0369E"/>
    <w:rsid w:val="00D047A6"/>
    <w:rsid w:val="00D053D4"/>
    <w:rsid w:val="00D13E92"/>
    <w:rsid w:val="00D20883"/>
    <w:rsid w:val="00D31171"/>
    <w:rsid w:val="00D340C5"/>
    <w:rsid w:val="00D37C88"/>
    <w:rsid w:val="00D4064C"/>
    <w:rsid w:val="00D44264"/>
    <w:rsid w:val="00D774EB"/>
    <w:rsid w:val="00D77A1B"/>
    <w:rsid w:val="00D80ED8"/>
    <w:rsid w:val="00D82609"/>
    <w:rsid w:val="00D8571C"/>
    <w:rsid w:val="00D8786C"/>
    <w:rsid w:val="00D87BDD"/>
    <w:rsid w:val="00D90B23"/>
    <w:rsid w:val="00D931E4"/>
    <w:rsid w:val="00D93517"/>
    <w:rsid w:val="00D978F7"/>
    <w:rsid w:val="00DA04B8"/>
    <w:rsid w:val="00DA21D8"/>
    <w:rsid w:val="00DB23C3"/>
    <w:rsid w:val="00DB2C8B"/>
    <w:rsid w:val="00DC439B"/>
    <w:rsid w:val="00DC590A"/>
    <w:rsid w:val="00DE3183"/>
    <w:rsid w:val="00DE44FA"/>
    <w:rsid w:val="00DE7763"/>
    <w:rsid w:val="00DF7EEB"/>
    <w:rsid w:val="00E0376D"/>
    <w:rsid w:val="00E05295"/>
    <w:rsid w:val="00E05729"/>
    <w:rsid w:val="00E07CDE"/>
    <w:rsid w:val="00E11D65"/>
    <w:rsid w:val="00E1410C"/>
    <w:rsid w:val="00E16977"/>
    <w:rsid w:val="00E20F6B"/>
    <w:rsid w:val="00E2280F"/>
    <w:rsid w:val="00E23C98"/>
    <w:rsid w:val="00E40F6A"/>
    <w:rsid w:val="00E41ED7"/>
    <w:rsid w:val="00E45EE0"/>
    <w:rsid w:val="00E5143C"/>
    <w:rsid w:val="00E518F2"/>
    <w:rsid w:val="00E571AF"/>
    <w:rsid w:val="00E601CC"/>
    <w:rsid w:val="00E6099D"/>
    <w:rsid w:val="00E63E76"/>
    <w:rsid w:val="00E64DE5"/>
    <w:rsid w:val="00E733B0"/>
    <w:rsid w:val="00E7363A"/>
    <w:rsid w:val="00E75AAF"/>
    <w:rsid w:val="00E91FAF"/>
    <w:rsid w:val="00E94A64"/>
    <w:rsid w:val="00EA0FB5"/>
    <w:rsid w:val="00EA282C"/>
    <w:rsid w:val="00EA3D0B"/>
    <w:rsid w:val="00EA4C0B"/>
    <w:rsid w:val="00EB4618"/>
    <w:rsid w:val="00EB5125"/>
    <w:rsid w:val="00EC015B"/>
    <w:rsid w:val="00EC3713"/>
    <w:rsid w:val="00EC650F"/>
    <w:rsid w:val="00ED0FED"/>
    <w:rsid w:val="00ED5031"/>
    <w:rsid w:val="00ED6689"/>
    <w:rsid w:val="00ED6AC0"/>
    <w:rsid w:val="00EE4040"/>
    <w:rsid w:val="00EE53CB"/>
    <w:rsid w:val="00EE6994"/>
    <w:rsid w:val="00EF097F"/>
    <w:rsid w:val="00EF2BCA"/>
    <w:rsid w:val="00EF3888"/>
    <w:rsid w:val="00F06FDA"/>
    <w:rsid w:val="00F11803"/>
    <w:rsid w:val="00F14D54"/>
    <w:rsid w:val="00F30C2A"/>
    <w:rsid w:val="00F30F03"/>
    <w:rsid w:val="00F33E05"/>
    <w:rsid w:val="00F34ECD"/>
    <w:rsid w:val="00F360AE"/>
    <w:rsid w:val="00F37213"/>
    <w:rsid w:val="00F40A7B"/>
    <w:rsid w:val="00F41B06"/>
    <w:rsid w:val="00F50649"/>
    <w:rsid w:val="00F60062"/>
    <w:rsid w:val="00F76DBF"/>
    <w:rsid w:val="00F824F0"/>
    <w:rsid w:val="00F83B06"/>
    <w:rsid w:val="00F84B17"/>
    <w:rsid w:val="00F84F8B"/>
    <w:rsid w:val="00F8678E"/>
    <w:rsid w:val="00F9300E"/>
    <w:rsid w:val="00F93A55"/>
    <w:rsid w:val="00FA59E0"/>
    <w:rsid w:val="00FB55E9"/>
    <w:rsid w:val="00FC5A0A"/>
    <w:rsid w:val="00FC6C38"/>
    <w:rsid w:val="00FC79E2"/>
    <w:rsid w:val="00FD4063"/>
    <w:rsid w:val="00FD5CCB"/>
    <w:rsid w:val="00FD6B29"/>
    <w:rsid w:val="00FE6875"/>
    <w:rsid w:val="00FF019C"/>
    <w:rsid w:val="00FF11E9"/>
    <w:rsid w:val="00FF66EE"/>
    <w:rsid w:val="00FF6A8D"/>
    <w:rsid w:val="01967112"/>
    <w:rsid w:val="01C55DE6"/>
    <w:rsid w:val="03D25DC0"/>
    <w:rsid w:val="04587485"/>
    <w:rsid w:val="052A1A8F"/>
    <w:rsid w:val="0660719B"/>
    <w:rsid w:val="09E16A29"/>
    <w:rsid w:val="09F57E31"/>
    <w:rsid w:val="0A436C35"/>
    <w:rsid w:val="0AF925FF"/>
    <w:rsid w:val="0B1074DD"/>
    <w:rsid w:val="0D8A2276"/>
    <w:rsid w:val="0DD00786"/>
    <w:rsid w:val="0FC75077"/>
    <w:rsid w:val="10494F26"/>
    <w:rsid w:val="11D177EC"/>
    <w:rsid w:val="12E53C86"/>
    <w:rsid w:val="1836036F"/>
    <w:rsid w:val="19784B82"/>
    <w:rsid w:val="1A275D55"/>
    <w:rsid w:val="1A3866C2"/>
    <w:rsid w:val="1B185454"/>
    <w:rsid w:val="1D0B4C37"/>
    <w:rsid w:val="1DBB63EA"/>
    <w:rsid w:val="205D299C"/>
    <w:rsid w:val="20A83194"/>
    <w:rsid w:val="20F71E82"/>
    <w:rsid w:val="216D65F7"/>
    <w:rsid w:val="229F33DA"/>
    <w:rsid w:val="25A32059"/>
    <w:rsid w:val="264F0531"/>
    <w:rsid w:val="277D3A3F"/>
    <w:rsid w:val="27B52680"/>
    <w:rsid w:val="28137FAF"/>
    <w:rsid w:val="284D2F1D"/>
    <w:rsid w:val="2D484307"/>
    <w:rsid w:val="2DA261E2"/>
    <w:rsid w:val="2E947E79"/>
    <w:rsid w:val="2EEF3E70"/>
    <w:rsid w:val="309F1EBB"/>
    <w:rsid w:val="327953EB"/>
    <w:rsid w:val="33D9277A"/>
    <w:rsid w:val="35F503EC"/>
    <w:rsid w:val="36171C4D"/>
    <w:rsid w:val="36447C64"/>
    <w:rsid w:val="3B116AF2"/>
    <w:rsid w:val="3B326EB7"/>
    <w:rsid w:val="3E6971A6"/>
    <w:rsid w:val="3EE67E16"/>
    <w:rsid w:val="41D660A2"/>
    <w:rsid w:val="42FD7404"/>
    <w:rsid w:val="46592F11"/>
    <w:rsid w:val="480600B9"/>
    <w:rsid w:val="4977360C"/>
    <w:rsid w:val="4A433504"/>
    <w:rsid w:val="4BD908A6"/>
    <w:rsid w:val="50E8217A"/>
    <w:rsid w:val="5116656F"/>
    <w:rsid w:val="52043EAB"/>
    <w:rsid w:val="54D604C1"/>
    <w:rsid w:val="5A634509"/>
    <w:rsid w:val="5BA374C0"/>
    <w:rsid w:val="5C257C57"/>
    <w:rsid w:val="5DA305B2"/>
    <w:rsid w:val="607C6846"/>
    <w:rsid w:val="612F72D4"/>
    <w:rsid w:val="62127445"/>
    <w:rsid w:val="62673A58"/>
    <w:rsid w:val="65D85378"/>
    <w:rsid w:val="67A04E29"/>
    <w:rsid w:val="68891705"/>
    <w:rsid w:val="695E2339"/>
    <w:rsid w:val="6D296B0B"/>
    <w:rsid w:val="72BC2A2E"/>
    <w:rsid w:val="735F37E9"/>
    <w:rsid w:val="75D91E91"/>
    <w:rsid w:val="76202E9A"/>
    <w:rsid w:val="76F241D3"/>
    <w:rsid w:val="78A70F29"/>
    <w:rsid w:val="7AE2653F"/>
    <w:rsid w:val="7AE97B0E"/>
    <w:rsid w:val="7DF84F26"/>
    <w:rsid w:val="7E473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Calibri" w:hAnsi="Calibri" w:eastAsia="宋体" w:cs="Times New Roman"/>
      <w:kern w:val="2"/>
      <w:sz w:val="24"/>
      <w:szCs w:val="24"/>
      <w:lang w:val="en-US" w:eastAsia="zh-CN" w:bidi="ar-SA"/>
    </w:rPr>
  </w:style>
  <w:style w:type="paragraph" w:styleId="4">
    <w:name w:val="heading 1"/>
    <w:basedOn w:val="1"/>
    <w:next w:val="1"/>
    <w:link w:val="18"/>
    <w:qFormat/>
    <w:uiPriority w:val="9"/>
    <w:pPr>
      <w:numPr>
        <w:ilvl w:val="0"/>
        <w:numId w:val="1"/>
      </w:numPr>
      <w:ind w:firstLineChars="0"/>
      <w:contextualSpacing/>
      <w:outlineLvl w:val="0"/>
    </w:pPr>
    <w:rPr>
      <w:rFonts w:ascii="宋体" w:hAnsi="宋体" w:cstheme="minorBidi"/>
      <w:b/>
      <w:smallCaps/>
      <w:spacing w:val="5"/>
      <w:sz w:val="32"/>
      <w:szCs w:val="32"/>
    </w:rPr>
  </w:style>
  <w:style w:type="paragraph" w:styleId="5">
    <w:name w:val="heading 2"/>
    <w:basedOn w:val="1"/>
    <w:next w:val="1"/>
    <w:link w:val="19"/>
    <w:unhideWhenUsed/>
    <w:qFormat/>
    <w:uiPriority w:val="9"/>
    <w:pPr>
      <w:numPr>
        <w:ilvl w:val="1"/>
        <w:numId w:val="1"/>
      </w:numPr>
      <w:ind w:firstLineChars="0"/>
      <w:outlineLvl w:val="1"/>
    </w:pPr>
    <w:rPr>
      <w:rFonts w:ascii="宋体" w:hAnsi="宋体" w:eastAsiaTheme="minorEastAsia" w:cstheme="minorBidi"/>
      <w:b/>
      <w:smallCaps/>
      <w:sz w:val="28"/>
    </w:rPr>
  </w:style>
  <w:style w:type="paragraph" w:styleId="6">
    <w:name w:val="heading 3"/>
    <w:basedOn w:val="1"/>
    <w:next w:val="1"/>
    <w:link w:val="20"/>
    <w:unhideWhenUsed/>
    <w:qFormat/>
    <w:uiPriority w:val="9"/>
    <w:pPr>
      <w:numPr>
        <w:ilvl w:val="2"/>
        <w:numId w:val="1"/>
      </w:numPr>
      <w:snapToGrid w:val="0"/>
      <w:spacing w:before="156" w:beforeLines="50"/>
      <w:ind w:firstLineChars="0"/>
      <w:outlineLvl w:val="2"/>
    </w:pPr>
    <w:rPr>
      <w:rFonts w:ascii="宋体" w:hAnsi="宋体" w:cstheme="minorBidi"/>
      <w:b/>
      <w:iCs/>
      <w:smallCaps/>
      <w:spacing w:val="5"/>
    </w:rPr>
  </w:style>
  <w:style w:type="paragraph" w:styleId="7">
    <w:name w:val="heading 4"/>
    <w:basedOn w:val="1"/>
    <w:next w:val="1"/>
    <w:link w:val="21"/>
    <w:unhideWhenUsed/>
    <w:qFormat/>
    <w:uiPriority w:val="9"/>
    <w:pPr>
      <w:numPr>
        <w:ilvl w:val="3"/>
        <w:numId w:val="1"/>
      </w:numPr>
      <w:ind w:firstLineChars="0"/>
      <w:outlineLvl w:val="3"/>
    </w:pPr>
    <w:rPr>
      <w:rFonts w:asciiTheme="minorHAnsi" w:hAnsiTheme="minorHAnsi" w:eastAsiaTheme="minorEastAsia" w:cstheme="minorBidi"/>
      <w:b/>
      <w:bCs/>
      <w:spacing w:val="5"/>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3"/>
    <w:unhideWhenUsed/>
    <w:qFormat/>
    <w:uiPriority w:val="99"/>
    <w:pPr>
      <w:ind w:firstLine="420"/>
    </w:pPr>
  </w:style>
  <w:style w:type="paragraph" w:styleId="3">
    <w:name w:val="Body Text Indent"/>
    <w:basedOn w:val="1"/>
    <w:link w:val="22"/>
    <w:semiHidden/>
    <w:unhideWhenUsed/>
    <w:qFormat/>
    <w:uiPriority w:val="99"/>
    <w:pPr>
      <w:spacing w:after="120"/>
      <w:ind w:left="420" w:leftChars="200"/>
    </w:pPr>
  </w:style>
  <w:style w:type="paragraph" w:styleId="8">
    <w:name w:val="toc 3"/>
    <w:basedOn w:val="1"/>
    <w:next w:val="1"/>
    <w:unhideWhenUsed/>
    <w:qFormat/>
    <w:uiPriority w:val="39"/>
    <w:pPr>
      <w:ind w:left="840" w:leftChars="400"/>
    </w:pPr>
  </w:style>
  <w:style w:type="paragraph" w:styleId="9">
    <w:name w:val="footer"/>
    <w:basedOn w:val="1"/>
    <w:link w:val="17"/>
    <w:unhideWhenUsed/>
    <w:qFormat/>
    <w:uiPriority w:val="99"/>
    <w:pPr>
      <w:tabs>
        <w:tab w:val="center" w:pos="4153"/>
        <w:tab w:val="right" w:pos="8306"/>
      </w:tabs>
      <w:snapToGrid w:val="0"/>
      <w:jc w:val="left"/>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6">
    <w:name w:val="页眉 字符"/>
    <w:basedOn w:val="14"/>
    <w:link w:val="10"/>
    <w:qFormat/>
    <w:uiPriority w:val="99"/>
    <w:rPr>
      <w:sz w:val="18"/>
      <w:szCs w:val="18"/>
    </w:rPr>
  </w:style>
  <w:style w:type="character" w:customStyle="1" w:styleId="17">
    <w:name w:val="页脚 字符"/>
    <w:basedOn w:val="14"/>
    <w:link w:val="9"/>
    <w:qFormat/>
    <w:uiPriority w:val="99"/>
    <w:rPr>
      <w:sz w:val="18"/>
      <w:szCs w:val="18"/>
    </w:rPr>
  </w:style>
  <w:style w:type="character" w:customStyle="1" w:styleId="18">
    <w:name w:val="标题 1 字符"/>
    <w:basedOn w:val="14"/>
    <w:link w:val="4"/>
    <w:qFormat/>
    <w:uiPriority w:val="9"/>
    <w:rPr>
      <w:rFonts w:ascii="宋体" w:hAnsi="宋体" w:eastAsia="宋体"/>
      <w:b/>
      <w:smallCaps/>
      <w:spacing w:val="5"/>
      <w:sz w:val="32"/>
      <w:szCs w:val="32"/>
    </w:rPr>
  </w:style>
  <w:style w:type="character" w:customStyle="1" w:styleId="19">
    <w:name w:val="标题 2 字符"/>
    <w:basedOn w:val="14"/>
    <w:link w:val="5"/>
    <w:qFormat/>
    <w:uiPriority w:val="9"/>
    <w:rPr>
      <w:rFonts w:ascii="宋体" w:hAnsi="宋体"/>
      <w:b/>
      <w:smallCaps/>
      <w:sz w:val="28"/>
      <w:szCs w:val="24"/>
    </w:rPr>
  </w:style>
  <w:style w:type="character" w:customStyle="1" w:styleId="20">
    <w:name w:val="标题 3 字符"/>
    <w:basedOn w:val="14"/>
    <w:link w:val="6"/>
    <w:qFormat/>
    <w:uiPriority w:val="9"/>
    <w:rPr>
      <w:rFonts w:ascii="宋体" w:hAnsi="宋体" w:eastAsia="宋体"/>
      <w:b/>
      <w:iCs/>
      <w:smallCaps/>
      <w:spacing w:val="5"/>
      <w:sz w:val="24"/>
      <w:szCs w:val="24"/>
    </w:rPr>
  </w:style>
  <w:style w:type="character" w:customStyle="1" w:styleId="21">
    <w:name w:val="标题 4 字符"/>
    <w:basedOn w:val="14"/>
    <w:link w:val="7"/>
    <w:qFormat/>
    <w:uiPriority w:val="9"/>
    <w:rPr>
      <w:b/>
      <w:bCs/>
      <w:spacing w:val="5"/>
      <w:sz w:val="24"/>
      <w:szCs w:val="24"/>
    </w:rPr>
  </w:style>
  <w:style w:type="character" w:customStyle="1" w:styleId="22">
    <w:name w:val="正文文本缩进 字符"/>
    <w:basedOn w:val="14"/>
    <w:link w:val="3"/>
    <w:semiHidden/>
    <w:qFormat/>
    <w:uiPriority w:val="99"/>
    <w:rPr>
      <w:rFonts w:ascii="Calibri" w:hAnsi="Calibri" w:eastAsia="宋体" w:cs="Times New Roman"/>
      <w:sz w:val="24"/>
      <w:szCs w:val="24"/>
    </w:rPr>
  </w:style>
  <w:style w:type="character" w:customStyle="1" w:styleId="23">
    <w:name w:val="正文文本首行缩进 2 字符"/>
    <w:basedOn w:val="22"/>
    <w:link w:val="2"/>
    <w:qFormat/>
    <w:uiPriority w:val="99"/>
    <w:rPr>
      <w:rFonts w:ascii="Calibri" w:hAnsi="Calibri" w:eastAsia="宋体" w:cs="Times New Roman"/>
      <w:sz w:val="24"/>
      <w:szCs w:val="24"/>
    </w:rPr>
  </w:style>
  <w:style w:type="paragraph" w:styleId="24">
    <w:name w:val="No Spacing"/>
    <w:link w:val="25"/>
    <w:qFormat/>
    <w:uiPriority w:val="1"/>
    <w:rPr>
      <w:rFonts w:asciiTheme="minorHAnsi" w:hAnsiTheme="minorHAnsi" w:eastAsiaTheme="minorEastAsia" w:cstheme="minorBidi"/>
      <w:sz w:val="22"/>
      <w:szCs w:val="22"/>
      <w:lang w:val="en-US" w:eastAsia="zh-CN" w:bidi="ar-SA"/>
    </w:rPr>
  </w:style>
  <w:style w:type="character" w:customStyle="1" w:styleId="25">
    <w:name w:val="无间隔 字符"/>
    <w:basedOn w:val="14"/>
    <w:link w:val="24"/>
    <w:qFormat/>
    <w:uiPriority w:val="1"/>
    <w:rPr>
      <w:kern w:val="0"/>
      <w:sz w:val="22"/>
    </w:rPr>
  </w:style>
  <w:style w:type="paragraph" w:styleId="26">
    <w:name w:val="List Paragraph"/>
    <w:basedOn w:val="1"/>
    <w:qFormat/>
    <w:uiPriority w:val="99"/>
    <w:pPr>
      <w:ind w:firstLine="420"/>
    </w:pPr>
  </w:style>
  <w:style w:type="paragraph" w:customStyle="1" w:styleId="27">
    <w:name w:val="TOC 标题1"/>
    <w:basedOn w:val="4"/>
    <w:next w:val="1"/>
    <w:unhideWhenUsed/>
    <w:qFormat/>
    <w:uiPriority w:val="39"/>
    <w:pPr>
      <w:keepNext/>
      <w:keepLines/>
      <w:widowControl/>
      <w:numPr>
        <w:numId w:val="0"/>
      </w:numPr>
      <w:spacing w:before="240" w:line="259" w:lineRule="auto"/>
      <w:contextualSpacing w:val="0"/>
      <w:jc w:val="left"/>
      <w:outlineLvl w:val="9"/>
    </w:pPr>
    <w:rPr>
      <w:rFonts w:asciiTheme="majorHAnsi" w:hAnsiTheme="majorHAnsi" w:eastAsiaTheme="majorEastAsia" w:cstheme="majorBidi"/>
      <w:b w:val="0"/>
      <w:smallCaps w:val="0"/>
      <w:color w:val="2E75B6" w:themeColor="accent1" w:themeShade="BF"/>
      <w:spacing w:val="0"/>
      <w:kern w:val="0"/>
    </w:rPr>
  </w:style>
  <w:style w:type="character" w:customStyle="1" w:styleId="28">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header" Target="header1.xml"/><Relationship Id="rId49" Type="http://schemas.openxmlformats.org/officeDocument/2006/relationships/customXml" Target="../customXml/item1.xml"/><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endnotes" Target="endnotes.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footnotes" Target="footnotes.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2379</Words>
  <Characters>2504</Characters>
  <Lines>48</Lines>
  <Paragraphs>13</Paragraphs>
  <TotalTime>4</TotalTime>
  <ScaleCrop>false</ScaleCrop>
  <LinksUpToDate>false</LinksUpToDate>
  <CharactersWithSpaces>2544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2020-06-10T02:39:00Z</dcterms:created>
  <dc:creator>chingo</dc:creator>
  <cp:lastModifiedBy>刘</cp:lastModifiedBy>
  <dcterms:modified xsi:type="dcterms:W3CDTF">2025-07-02T06:10:51Z</dcterms:modified>
  <cp:revision>703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89BDB8870B0D4EA58E9F2690A3C3FE19</vt:lpwstr>
  </property>
  <property fmtid="{D5CDD505-2E9C-101B-9397-08002B2CF9AE}" pid="4" name="commondata">
    <vt:lpwstr>eyJoZGlkIjoiODc1MzNhZmM4YzZlNWQ0OTk1NjliNGM5OTg3MDIxZTQifQ==</vt:lpwstr>
  </property>
  <property fmtid="{D5CDD505-2E9C-101B-9397-08002B2CF9AE}" pid="5" name="KSOTemplateDocerSaveRecord">
    <vt:lpwstr>eyJoZGlkIjoiNzBlNTU4Yjc2NGI0YmRjYzljZTYwYjcyNjQ5NjRjY2EiLCJ1c2VySWQiOiI0NDgwMjQ1OTgifQ==</vt:lpwstr>
  </property>
</Properties>
</file>